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64964">
      <w:pPr>
        <w:spacing w:line="920" w:lineRule="exact"/>
        <w:jc w:val="center"/>
        <w:outlineLvl w:val="0"/>
        <w:rPr>
          <w:rFonts w:hint="eastAsia" w:ascii="宋体" w:hAnsi="宋体" w:eastAsia="宋体" w:cs="宋体"/>
          <w:b/>
          <w:color w:val="auto"/>
          <w:sz w:val="144"/>
          <w:szCs w:val="96"/>
          <w:highlight w:val="none"/>
          <w:lang w:eastAsia="zh-CN"/>
        </w:rPr>
      </w:pPr>
      <w:r>
        <w:rPr>
          <w:rFonts w:hint="eastAsia" w:ascii="宋体" w:hAnsi="宋体" w:cs="宋体"/>
          <w:b/>
          <w:bCs/>
          <w:color w:val="auto"/>
          <w:spacing w:val="-6"/>
          <w:sz w:val="44"/>
          <w:szCs w:val="40"/>
          <w:highlight w:val="none"/>
          <w:lang w:eastAsia="zh-CN"/>
        </w:rPr>
        <w:t>湖滨区社会治安综合治理中心提升项目</w:t>
      </w:r>
    </w:p>
    <w:p w14:paraId="794BDB0D">
      <w:pPr>
        <w:spacing w:line="920" w:lineRule="exact"/>
        <w:ind w:firstLine="2168" w:firstLineChars="300"/>
        <w:rPr>
          <w:rFonts w:hint="eastAsia" w:ascii="宋体" w:hAnsi="宋体" w:eastAsia="宋体" w:cs="宋体"/>
          <w:b/>
          <w:color w:val="auto"/>
          <w:sz w:val="72"/>
          <w:szCs w:val="72"/>
          <w:highlight w:val="none"/>
        </w:rPr>
      </w:pPr>
    </w:p>
    <w:p w14:paraId="1E1DC92E">
      <w:pPr>
        <w:spacing w:line="920" w:lineRule="exact"/>
        <w:ind w:firstLine="2168" w:firstLineChars="300"/>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招 标 文 件</w:t>
      </w:r>
    </w:p>
    <w:p w14:paraId="7436A6FA">
      <w:pPr>
        <w:rPr>
          <w:rFonts w:hint="eastAsia" w:ascii="宋体" w:hAnsi="宋体" w:eastAsia="宋体" w:cs="宋体"/>
          <w:color w:val="auto"/>
          <w:highlight w:val="none"/>
        </w:rPr>
      </w:pPr>
    </w:p>
    <w:p w14:paraId="3923048A">
      <w:pPr>
        <w:ind w:firstLine="1968" w:firstLineChars="700"/>
        <w:jc w:val="left"/>
        <w:rPr>
          <w:rFonts w:hint="eastAsia" w:ascii="宋体" w:hAnsi="宋体" w:cs="宋体"/>
          <w:b/>
          <w:bCs/>
          <w:color w:val="auto"/>
          <w:sz w:val="28"/>
          <w:szCs w:val="24"/>
          <w:highlight w:val="none"/>
          <w:lang w:val="en-US" w:eastAsia="zh-CN"/>
        </w:rPr>
      </w:pPr>
      <w:r>
        <w:rPr>
          <w:rFonts w:hint="eastAsia" w:ascii="宋体" w:hAnsi="宋体" w:eastAsia="宋体" w:cs="宋体"/>
          <w:b/>
          <w:bCs/>
          <w:color w:val="auto"/>
          <w:sz w:val="28"/>
          <w:szCs w:val="24"/>
          <w:highlight w:val="none"/>
        </w:rPr>
        <w:t>招标编号：</w:t>
      </w:r>
      <w:r>
        <w:rPr>
          <w:rFonts w:hint="eastAsia" w:ascii="宋体" w:hAnsi="宋体" w:eastAsia="宋体" w:cs="宋体"/>
          <w:b/>
          <w:bCs/>
          <w:color w:val="auto"/>
          <w:sz w:val="28"/>
          <w:szCs w:val="24"/>
          <w:highlight w:val="none"/>
          <w:lang w:eastAsia="zh-CN"/>
        </w:rPr>
        <w:t>湖滨公开采购-2025-2</w:t>
      </w:r>
      <w:r>
        <w:rPr>
          <w:rFonts w:hint="eastAsia" w:ascii="宋体" w:hAnsi="宋体" w:cs="宋体"/>
          <w:b/>
          <w:bCs/>
          <w:color w:val="auto"/>
          <w:sz w:val="28"/>
          <w:szCs w:val="24"/>
          <w:highlight w:val="none"/>
          <w:lang w:val="en-US" w:eastAsia="zh-CN"/>
        </w:rPr>
        <w:t>5</w:t>
      </w:r>
    </w:p>
    <w:p w14:paraId="73E25502">
      <w:pPr>
        <w:ind w:firstLine="3373" w:firstLineChars="1200"/>
        <w:jc w:val="left"/>
        <w:rPr>
          <w:rFonts w:hint="eastAsia" w:ascii="宋体" w:hAnsi="宋体" w:cs="宋体"/>
          <w:b/>
          <w:bCs/>
          <w:color w:val="auto"/>
          <w:sz w:val="28"/>
          <w:szCs w:val="24"/>
          <w:highlight w:val="none"/>
          <w:lang w:val="en-US" w:eastAsia="zh-CN"/>
        </w:rPr>
      </w:pPr>
      <w:r>
        <w:rPr>
          <w:rFonts w:hint="eastAsia" w:ascii="宋体" w:hAnsi="宋体" w:cs="宋体"/>
          <w:b/>
          <w:bCs/>
          <w:color w:val="auto"/>
          <w:sz w:val="28"/>
          <w:szCs w:val="24"/>
          <w:highlight w:val="none"/>
          <w:lang w:val="en-US" w:eastAsia="zh-CN"/>
        </w:rPr>
        <w:t>SGZ[2025]565-ZC370</w:t>
      </w:r>
    </w:p>
    <w:p w14:paraId="64DF62F0">
      <w:pPr>
        <w:tabs>
          <w:tab w:val="left" w:pos="-1155"/>
          <w:tab w:val="left" w:pos="-1050"/>
        </w:tabs>
        <w:ind w:right="-334" w:rightChars="-159"/>
        <w:rPr>
          <w:rFonts w:hint="eastAsia" w:ascii="宋体" w:hAnsi="宋体" w:eastAsia="宋体" w:cs="宋体"/>
          <w:b/>
          <w:color w:val="auto"/>
          <w:spacing w:val="-6"/>
          <w:highlight w:val="none"/>
        </w:rPr>
      </w:pPr>
    </w:p>
    <w:p w14:paraId="569F936E">
      <w:pPr>
        <w:tabs>
          <w:tab w:val="left" w:pos="-1155"/>
          <w:tab w:val="left" w:pos="-1050"/>
        </w:tabs>
        <w:ind w:right="-334" w:rightChars="-159"/>
        <w:jc w:val="both"/>
        <w:rPr>
          <w:rFonts w:hint="default" w:ascii="宋体" w:hAnsi="宋体" w:eastAsia="宋体" w:cs="宋体"/>
          <w:b/>
          <w:color w:val="auto"/>
          <w:spacing w:val="-6"/>
          <w:highlight w:val="none"/>
          <w:lang w:val="en-US" w:eastAsia="zh-CN"/>
        </w:rPr>
      </w:pPr>
      <w:r>
        <w:rPr>
          <w:rFonts w:hint="eastAsia" w:ascii="宋体" w:hAnsi="宋体" w:cs="宋体"/>
          <w:b/>
          <w:color w:val="auto"/>
          <w:spacing w:val="-6"/>
          <w:highlight w:val="none"/>
          <w:lang w:val="en-US" w:eastAsia="zh-CN"/>
        </w:rPr>
        <w:t xml:space="preserve">       </w:t>
      </w:r>
    </w:p>
    <w:p w14:paraId="745857B8">
      <w:pPr>
        <w:tabs>
          <w:tab w:val="left" w:pos="-1155"/>
          <w:tab w:val="left" w:pos="-1050"/>
        </w:tabs>
        <w:ind w:left="178" w:leftChars="85" w:right="-334" w:rightChars="-159" w:firstLine="1276" w:firstLineChars="642"/>
        <w:rPr>
          <w:rFonts w:hint="eastAsia" w:ascii="宋体" w:hAnsi="宋体" w:eastAsia="宋体" w:cs="宋体"/>
          <w:b/>
          <w:color w:val="auto"/>
          <w:spacing w:val="-6"/>
          <w:highlight w:val="none"/>
        </w:rPr>
      </w:pPr>
    </w:p>
    <w:p w14:paraId="11222B0E">
      <w:pPr>
        <w:tabs>
          <w:tab w:val="left" w:pos="-1155"/>
          <w:tab w:val="left" w:pos="-1050"/>
        </w:tabs>
        <w:ind w:left="178" w:leftChars="85" w:right="-334" w:rightChars="-159" w:firstLine="1276" w:firstLineChars="642"/>
        <w:rPr>
          <w:rFonts w:hint="eastAsia" w:ascii="宋体" w:hAnsi="宋体" w:eastAsia="宋体" w:cs="宋体"/>
          <w:b/>
          <w:color w:val="auto"/>
          <w:spacing w:val="-6"/>
          <w:highlight w:val="none"/>
        </w:rPr>
      </w:pPr>
    </w:p>
    <w:p w14:paraId="154BE2D8">
      <w:pPr>
        <w:tabs>
          <w:tab w:val="left" w:pos="-1155"/>
          <w:tab w:val="left" w:pos="-1050"/>
        </w:tabs>
        <w:spacing w:line="360" w:lineRule="auto"/>
        <w:ind w:firstLine="994" w:firstLineChars="500"/>
        <w:jc w:val="both"/>
        <w:rPr>
          <w:rFonts w:hint="eastAsia" w:ascii="宋体" w:hAnsi="宋体" w:eastAsia="宋体" w:cs="宋体"/>
          <w:b/>
          <w:color w:val="auto"/>
          <w:spacing w:val="-6"/>
          <w:sz w:val="28"/>
          <w:szCs w:val="28"/>
          <w:highlight w:val="none"/>
        </w:rPr>
      </w:pPr>
      <w:r>
        <w:rPr>
          <w:rFonts w:hint="eastAsia" w:ascii="宋体" w:hAnsi="宋体" w:cs="宋体"/>
          <w:b/>
          <w:color w:val="auto"/>
          <w:spacing w:val="-6"/>
          <w:highlight w:val="none"/>
          <w:lang w:val="en-US" w:eastAsia="zh-CN"/>
        </w:rPr>
        <w:t xml:space="preserve">         </w:t>
      </w:r>
      <w:r>
        <w:rPr>
          <w:rFonts w:hint="eastAsia" w:ascii="宋体" w:hAnsi="宋体" w:eastAsia="宋体" w:cs="宋体"/>
          <w:b/>
          <w:color w:val="auto"/>
          <w:spacing w:val="-6"/>
          <w:highlight w:val="none"/>
        </w:rPr>
        <w:drawing>
          <wp:inline distT="0" distB="0" distL="0" distR="0">
            <wp:extent cx="2381250" cy="2538730"/>
            <wp:effectExtent l="19050" t="0" r="0" b="0"/>
            <wp:docPr id="3" name="图片 1" descr="公司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公司LOGO (2)"/>
                    <pic:cNvPicPr>
                      <a:picLocks noChangeAspect="1" noChangeArrowheads="1"/>
                    </pic:cNvPicPr>
                  </pic:nvPicPr>
                  <pic:blipFill>
                    <a:blip r:embed="rId7" cstate="print"/>
                    <a:srcRect/>
                    <a:stretch>
                      <a:fillRect/>
                    </a:stretch>
                  </pic:blipFill>
                  <pic:spPr>
                    <a:xfrm>
                      <a:off x="0" y="0"/>
                      <a:ext cx="2381250" cy="2538883"/>
                    </a:xfrm>
                    <a:prstGeom prst="rect">
                      <a:avLst/>
                    </a:prstGeom>
                    <a:noFill/>
                    <a:ln w="9525">
                      <a:noFill/>
                      <a:miter lim="800000"/>
                      <a:headEnd/>
                      <a:tailEnd/>
                    </a:ln>
                    <a:effectLst/>
                  </pic:spPr>
                </pic:pic>
              </a:graphicData>
            </a:graphic>
          </wp:inline>
        </w:drawing>
      </w:r>
    </w:p>
    <w:p w14:paraId="750F4527">
      <w:pPr>
        <w:tabs>
          <w:tab w:val="left" w:pos="-1155"/>
          <w:tab w:val="left" w:pos="-1050"/>
        </w:tabs>
        <w:spacing w:line="360" w:lineRule="auto"/>
        <w:rPr>
          <w:rFonts w:hint="eastAsia" w:ascii="宋体" w:hAnsi="宋体" w:eastAsia="宋体" w:cs="宋体"/>
          <w:b/>
          <w:color w:val="auto"/>
          <w:spacing w:val="-6"/>
          <w:sz w:val="32"/>
          <w:szCs w:val="28"/>
          <w:highlight w:val="none"/>
        </w:rPr>
      </w:pPr>
    </w:p>
    <w:p w14:paraId="5A0C459C">
      <w:pPr>
        <w:tabs>
          <w:tab w:val="left" w:pos="-1155"/>
          <w:tab w:val="left" w:pos="-1050"/>
        </w:tabs>
        <w:spacing w:line="360" w:lineRule="auto"/>
        <w:ind w:firstLine="1546" w:firstLineChars="500"/>
        <w:outlineLvl w:val="0"/>
        <w:rPr>
          <w:rFonts w:hint="eastAsia" w:ascii="宋体" w:hAnsi="宋体" w:cs="宋体"/>
          <w:b/>
          <w:color w:val="auto"/>
          <w:spacing w:val="-6"/>
          <w:sz w:val="32"/>
          <w:szCs w:val="28"/>
          <w:highlight w:val="none"/>
          <w:lang w:eastAsia="zh-CN"/>
        </w:rPr>
      </w:pPr>
      <w:bookmarkStart w:id="0" w:name="_Toc10589"/>
      <w:bookmarkStart w:id="1" w:name="_Toc12044"/>
      <w:bookmarkStart w:id="2" w:name="_Toc6738"/>
    </w:p>
    <w:p w14:paraId="2B15465B">
      <w:pPr>
        <w:tabs>
          <w:tab w:val="left" w:pos="-1155"/>
          <w:tab w:val="left" w:pos="-1050"/>
        </w:tabs>
        <w:spacing w:line="360" w:lineRule="auto"/>
        <w:ind w:firstLine="1237" w:firstLineChars="400"/>
        <w:outlineLvl w:val="0"/>
        <w:rPr>
          <w:rFonts w:hint="eastAsia" w:ascii="宋体" w:hAnsi="宋体" w:eastAsia="宋体" w:cs="宋体"/>
          <w:b/>
          <w:color w:val="auto"/>
          <w:spacing w:val="-6"/>
          <w:sz w:val="32"/>
          <w:szCs w:val="28"/>
          <w:highlight w:val="none"/>
          <w:lang w:eastAsia="zh-CN"/>
        </w:rPr>
      </w:pPr>
      <w:bookmarkStart w:id="3" w:name="_Toc27736"/>
      <w:r>
        <w:rPr>
          <w:rFonts w:hint="eastAsia" w:ascii="宋体" w:hAnsi="宋体" w:cs="宋体"/>
          <w:b/>
          <w:color w:val="auto"/>
          <w:spacing w:val="-6"/>
          <w:sz w:val="32"/>
          <w:szCs w:val="28"/>
          <w:highlight w:val="none"/>
          <w:lang w:eastAsia="zh-CN"/>
        </w:rPr>
        <w:t>采</w:t>
      </w:r>
      <w:r>
        <w:rPr>
          <w:rFonts w:hint="eastAsia" w:ascii="宋体" w:hAnsi="宋体" w:cs="宋体"/>
          <w:b/>
          <w:color w:val="auto"/>
          <w:spacing w:val="-6"/>
          <w:sz w:val="32"/>
          <w:szCs w:val="28"/>
          <w:highlight w:val="none"/>
          <w:lang w:val="en-US" w:eastAsia="zh-CN"/>
        </w:rPr>
        <w:t xml:space="preserve">   </w:t>
      </w:r>
      <w:r>
        <w:rPr>
          <w:rFonts w:hint="eastAsia" w:ascii="宋体" w:hAnsi="宋体" w:cs="宋体"/>
          <w:b/>
          <w:color w:val="auto"/>
          <w:spacing w:val="-6"/>
          <w:sz w:val="32"/>
          <w:szCs w:val="28"/>
          <w:highlight w:val="none"/>
          <w:lang w:eastAsia="zh-CN"/>
        </w:rPr>
        <w:t>购</w:t>
      </w:r>
      <w:r>
        <w:rPr>
          <w:rFonts w:hint="eastAsia" w:ascii="宋体" w:hAnsi="宋体" w:cs="宋体"/>
          <w:b/>
          <w:color w:val="auto"/>
          <w:spacing w:val="-6"/>
          <w:sz w:val="32"/>
          <w:szCs w:val="28"/>
          <w:highlight w:val="none"/>
          <w:lang w:val="en-US" w:eastAsia="zh-CN"/>
        </w:rPr>
        <w:t xml:space="preserve">   </w:t>
      </w:r>
      <w:r>
        <w:rPr>
          <w:rFonts w:hint="eastAsia" w:ascii="宋体" w:hAnsi="宋体" w:cs="宋体"/>
          <w:b/>
          <w:color w:val="auto"/>
          <w:spacing w:val="-6"/>
          <w:sz w:val="32"/>
          <w:szCs w:val="28"/>
          <w:highlight w:val="none"/>
          <w:lang w:eastAsia="zh-CN"/>
        </w:rPr>
        <w:t>人</w:t>
      </w:r>
      <w:r>
        <w:rPr>
          <w:rFonts w:hint="eastAsia" w:ascii="宋体" w:hAnsi="宋体" w:eastAsia="宋体" w:cs="宋体"/>
          <w:b/>
          <w:color w:val="auto"/>
          <w:spacing w:val="-6"/>
          <w:sz w:val="32"/>
          <w:szCs w:val="28"/>
          <w:highlight w:val="none"/>
        </w:rPr>
        <w:t>：</w:t>
      </w:r>
      <w:bookmarkEnd w:id="0"/>
      <w:bookmarkEnd w:id="1"/>
      <w:bookmarkEnd w:id="2"/>
      <w:r>
        <w:rPr>
          <w:rFonts w:hint="eastAsia" w:ascii="宋体" w:hAnsi="宋体" w:cs="宋体"/>
          <w:b/>
          <w:bCs/>
          <w:color w:val="auto"/>
          <w:spacing w:val="-6"/>
          <w:sz w:val="32"/>
          <w:szCs w:val="28"/>
          <w:highlight w:val="none"/>
          <w:lang w:eastAsia="zh-CN"/>
        </w:rPr>
        <w:t>中共三门峡市湖滨区委政法委员会</w:t>
      </w:r>
      <w:bookmarkEnd w:id="3"/>
    </w:p>
    <w:p w14:paraId="05D591DC">
      <w:pPr>
        <w:tabs>
          <w:tab w:val="left" w:pos="-1155"/>
          <w:tab w:val="left" w:pos="-1050"/>
        </w:tabs>
        <w:spacing w:line="360" w:lineRule="auto"/>
        <w:jc w:val="center"/>
        <w:outlineLvl w:val="0"/>
        <w:rPr>
          <w:rFonts w:hint="eastAsia" w:ascii="宋体" w:hAnsi="宋体" w:eastAsia="宋体" w:cs="宋体"/>
          <w:b/>
          <w:color w:val="auto"/>
          <w:spacing w:val="-6"/>
          <w:sz w:val="32"/>
          <w:szCs w:val="28"/>
          <w:highlight w:val="none"/>
        </w:rPr>
      </w:pPr>
      <w:bookmarkStart w:id="4" w:name="_Toc21572"/>
      <w:bookmarkStart w:id="5" w:name="_Toc2389"/>
      <w:bookmarkStart w:id="6" w:name="_Toc10680"/>
      <w:r>
        <w:rPr>
          <w:rFonts w:hint="eastAsia" w:ascii="宋体" w:hAnsi="宋体" w:cs="宋体"/>
          <w:b/>
          <w:color w:val="auto"/>
          <w:spacing w:val="-6"/>
          <w:sz w:val="32"/>
          <w:szCs w:val="28"/>
          <w:highlight w:val="none"/>
          <w:lang w:val="en-US" w:eastAsia="zh-CN"/>
        </w:rPr>
        <w:t xml:space="preserve">  </w:t>
      </w:r>
      <w:bookmarkStart w:id="7" w:name="_Toc29128"/>
      <w:r>
        <w:rPr>
          <w:rFonts w:hint="eastAsia" w:ascii="宋体" w:hAnsi="宋体" w:cs="宋体"/>
          <w:b/>
          <w:color w:val="auto"/>
          <w:spacing w:val="-6"/>
          <w:sz w:val="32"/>
          <w:szCs w:val="28"/>
          <w:highlight w:val="none"/>
          <w:lang w:eastAsia="zh-CN"/>
        </w:rPr>
        <w:t>采购代理机构</w:t>
      </w:r>
      <w:r>
        <w:rPr>
          <w:rFonts w:hint="eastAsia" w:ascii="宋体" w:hAnsi="宋体" w:eastAsia="宋体" w:cs="宋体"/>
          <w:b/>
          <w:color w:val="auto"/>
          <w:spacing w:val="-6"/>
          <w:sz w:val="32"/>
          <w:szCs w:val="28"/>
          <w:highlight w:val="none"/>
        </w:rPr>
        <w:t>：河南恒泽顺工程管理有限公司</w:t>
      </w:r>
      <w:bookmarkEnd w:id="4"/>
      <w:bookmarkEnd w:id="5"/>
      <w:bookmarkEnd w:id="6"/>
      <w:bookmarkEnd w:id="7"/>
    </w:p>
    <w:p w14:paraId="06F9A601">
      <w:pPr>
        <w:tabs>
          <w:tab w:val="left" w:pos="-1155"/>
          <w:tab w:val="left" w:pos="-1050"/>
        </w:tabs>
        <w:spacing w:line="360" w:lineRule="auto"/>
        <w:ind w:firstLine="1237" w:firstLineChars="400"/>
        <w:rPr>
          <w:rFonts w:hint="eastAsia" w:ascii="宋体" w:hAnsi="宋体" w:eastAsia="宋体" w:cs="宋体"/>
          <w:b/>
          <w:bCs/>
          <w:color w:val="auto"/>
          <w:sz w:val="32"/>
          <w:szCs w:val="32"/>
          <w:highlight w:val="none"/>
        </w:rPr>
        <w:sectPr>
          <w:footerReference r:id="rId3" w:type="default"/>
          <w:pgSz w:w="11906" w:h="16838"/>
          <w:pgMar w:top="1440" w:right="1800" w:bottom="1440" w:left="1800" w:header="851" w:footer="992" w:gutter="0"/>
          <w:pgNumType w:fmt="decimal" w:chapStyle="2" w:chapSep="period"/>
          <w:cols w:space="720" w:num="1"/>
          <w:docGrid w:type="lines" w:linePitch="312" w:charSpace="0"/>
        </w:sectPr>
      </w:pPr>
      <w:r>
        <w:rPr>
          <w:rFonts w:hint="eastAsia" w:ascii="宋体" w:hAnsi="宋体" w:eastAsia="宋体" w:cs="宋体"/>
          <w:b/>
          <w:color w:val="auto"/>
          <w:spacing w:val="-6"/>
          <w:sz w:val="32"/>
          <w:szCs w:val="28"/>
          <w:highlight w:val="none"/>
        </w:rPr>
        <w:t xml:space="preserve">日    </w:t>
      </w:r>
      <w:r>
        <w:rPr>
          <w:rFonts w:hint="eastAsia" w:ascii="宋体" w:hAnsi="宋体" w:cs="宋体"/>
          <w:b/>
          <w:color w:val="auto"/>
          <w:spacing w:val="-6"/>
          <w:sz w:val="32"/>
          <w:szCs w:val="28"/>
          <w:highlight w:val="none"/>
          <w:lang w:val="en-US" w:eastAsia="zh-CN"/>
        </w:rPr>
        <w:t xml:space="preserve">    </w:t>
      </w:r>
      <w:r>
        <w:rPr>
          <w:rFonts w:hint="eastAsia" w:ascii="宋体" w:hAnsi="宋体" w:eastAsia="宋体" w:cs="宋体"/>
          <w:b/>
          <w:color w:val="auto"/>
          <w:spacing w:val="-6"/>
          <w:sz w:val="32"/>
          <w:szCs w:val="28"/>
          <w:highlight w:val="none"/>
        </w:rPr>
        <w:t>期：二○二</w:t>
      </w:r>
      <w:r>
        <w:rPr>
          <w:rFonts w:hint="eastAsia" w:ascii="宋体" w:hAnsi="宋体" w:cs="宋体"/>
          <w:b/>
          <w:color w:val="auto"/>
          <w:spacing w:val="-6"/>
          <w:sz w:val="32"/>
          <w:szCs w:val="28"/>
          <w:highlight w:val="none"/>
          <w:lang w:eastAsia="zh-CN"/>
        </w:rPr>
        <w:t>五</w:t>
      </w:r>
      <w:r>
        <w:rPr>
          <w:rFonts w:hint="eastAsia" w:ascii="宋体" w:hAnsi="宋体" w:eastAsia="宋体" w:cs="宋体"/>
          <w:b/>
          <w:color w:val="auto"/>
          <w:spacing w:val="-6"/>
          <w:sz w:val="32"/>
          <w:szCs w:val="28"/>
          <w:highlight w:val="none"/>
        </w:rPr>
        <w:t>年</w:t>
      </w:r>
      <w:r>
        <w:rPr>
          <w:rFonts w:hint="eastAsia" w:ascii="宋体" w:hAnsi="宋体" w:cs="宋体"/>
          <w:b/>
          <w:color w:val="auto"/>
          <w:spacing w:val="-6"/>
          <w:sz w:val="32"/>
          <w:szCs w:val="28"/>
          <w:highlight w:val="none"/>
          <w:lang w:eastAsia="zh-CN"/>
        </w:rPr>
        <w:t>十二</w:t>
      </w:r>
      <w:r>
        <w:rPr>
          <w:rFonts w:hint="eastAsia" w:ascii="宋体" w:hAnsi="宋体" w:eastAsia="宋体" w:cs="宋体"/>
          <w:b/>
          <w:color w:val="auto"/>
          <w:spacing w:val="-6"/>
          <w:sz w:val="32"/>
          <w:szCs w:val="28"/>
          <w:highlight w:val="none"/>
        </w:rPr>
        <w:t>月</w:t>
      </w:r>
    </w:p>
    <w:p w14:paraId="591BD129">
      <w:pPr>
        <w:spacing w:before="0" w:beforeLines="0" w:after="0" w:afterLines="0" w:line="240" w:lineRule="auto"/>
        <w:ind w:left="0" w:leftChars="0" w:right="0" w:rightChars="0" w:firstLine="0" w:firstLineChars="0"/>
        <w:jc w:val="center"/>
        <w:rPr>
          <w:rFonts w:ascii="宋体" w:hAnsi="宋体" w:eastAsia="宋体" w:cs="Times New Roman"/>
          <w:color w:val="auto"/>
          <w:kern w:val="2"/>
          <w:sz w:val="21"/>
          <w:szCs w:val="24"/>
          <w:highlight w:val="none"/>
          <w:lang w:val="en-US" w:eastAsia="zh-CN" w:bidi="ar-SA"/>
        </w:rPr>
      </w:pPr>
    </w:p>
    <w:p w14:paraId="545DD017">
      <w:pPr>
        <w:pStyle w:val="31"/>
        <w:tabs>
          <w:tab w:val="right" w:leader="dot" w:pos="8306"/>
        </w:tabs>
        <w:rPr>
          <w:color w:val="auto"/>
          <w:sz w:val="32"/>
          <w:szCs w:val="32"/>
          <w:highlight w:val="none"/>
        </w:rPr>
      </w:pPr>
      <w:r>
        <w:rPr>
          <w:rFonts w:hint="eastAsia" w:ascii="宋体" w:hAnsi="宋体" w:eastAsia="宋体" w:cs="宋体"/>
          <w:bCs/>
          <w:color w:val="auto"/>
          <w:sz w:val="32"/>
          <w:szCs w:val="32"/>
          <w:highlight w:val="none"/>
        </w:rPr>
        <w:fldChar w:fldCharType="begin"/>
      </w:r>
      <w:r>
        <w:rPr>
          <w:rFonts w:hint="eastAsia" w:ascii="宋体" w:hAnsi="宋体" w:eastAsia="宋体" w:cs="宋体"/>
          <w:bCs/>
          <w:color w:val="auto"/>
          <w:sz w:val="32"/>
          <w:szCs w:val="32"/>
          <w:highlight w:val="none"/>
        </w:rPr>
        <w:instrText xml:space="preserve">TOC \o "1-1" \h \u </w:instrText>
      </w:r>
      <w:r>
        <w:rPr>
          <w:rFonts w:hint="eastAsia" w:ascii="宋体" w:hAnsi="宋体" w:eastAsia="宋体" w:cs="宋体"/>
          <w:bCs/>
          <w:color w:val="auto"/>
          <w:sz w:val="32"/>
          <w:szCs w:val="32"/>
          <w:highlight w:val="none"/>
        </w:rPr>
        <w:fldChar w:fldCharType="separate"/>
      </w:r>
    </w:p>
    <w:sdt>
      <w:sdtPr>
        <w:rPr>
          <w:rFonts w:ascii="宋体" w:hAnsi="宋体" w:eastAsia="宋体" w:cs="Times New Roman"/>
          <w:color w:val="auto"/>
          <w:kern w:val="2"/>
          <w:sz w:val="21"/>
          <w:szCs w:val="24"/>
          <w:highlight w:val="none"/>
          <w:lang w:val="en-US" w:eastAsia="zh-CN" w:bidi="ar-SA"/>
        </w:rPr>
        <w:id w:val="147465983"/>
        <w15:color w:val="DBDBDB"/>
        <w:docPartObj>
          <w:docPartGallery w:val="Table of Contents"/>
          <w:docPartUnique/>
        </w:docPartObj>
      </w:sdtPr>
      <w:sdtEndPr>
        <w:rPr>
          <w:rFonts w:ascii="Times New Roman" w:hAnsi="Times New Roman" w:eastAsia="宋体" w:cs="Times New Roman"/>
          <w:b/>
          <w:bCs/>
          <w:caps/>
          <w:color w:val="auto"/>
          <w:kern w:val="2"/>
          <w:sz w:val="20"/>
          <w:szCs w:val="32"/>
          <w:highlight w:val="none"/>
          <w:lang w:val="en-US" w:eastAsia="zh-CN" w:bidi="ar-SA"/>
        </w:rPr>
      </w:sdtEndPr>
      <w:sdtContent>
        <w:p w14:paraId="2EBC7480">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目录</w:t>
          </w:r>
        </w:p>
        <w:p w14:paraId="3C4435B7">
          <w:pPr>
            <w:pStyle w:val="31"/>
            <w:tabs>
              <w:tab w:val="right" w:leader="dot" w:pos="8306"/>
            </w:tabs>
            <w:rPr>
              <w:color w:val="auto"/>
              <w:sz w:val="22"/>
              <w:szCs w:val="22"/>
              <w:highlight w:val="none"/>
            </w:rPr>
          </w:pPr>
          <w:r>
            <w:rPr>
              <w:color w:val="auto"/>
              <w:sz w:val="40"/>
              <w:szCs w:val="40"/>
              <w:highlight w:val="none"/>
            </w:rPr>
            <w:fldChar w:fldCharType="begin"/>
          </w:r>
          <w:r>
            <w:rPr>
              <w:color w:val="auto"/>
              <w:sz w:val="40"/>
              <w:szCs w:val="40"/>
              <w:highlight w:val="none"/>
            </w:rPr>
            <w:instrText xml:space="preserve">TOC \o "1-1" \h \u </w:instrText>
          </w:r>
          <w:r>
            <w:rPr>
              <w:color w:val="auto"/>
              <w:sz w:val="40"/>
              <w:szCs w:val="40"/>
              <w:highlight w:val="none"/>
            </w:rPr>
            <w:fldChar w:fldCharType="separate"/>
          </w:r>
        </w:p>
        <w:p w14:paraId="56932AD5">
          <w:pPr>
            <w:pStyle w:val="31"/>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sz w:val="28"/>
              <w:szCs w:val="28"/>
              <w:highlight w:val="none"/>
            </w:rPr>
          </w:pPr>
          <w:r>
            <w:rPr>
              <w:color w:val="auto"/>
              <w:sz w:val="28"/>
              <w:szCs w:val="48"/>
              <w:highlight w:val="none"/>
            </w:rPr>
            <w:fldChar w:fldCharType="begin"/>
          </w:r>
          <w:r>
            <w:rPr>
              <w:color w:val="auto"/>
              <w:sz w:val="28"/>
              <w:szCs w:val="48"/>
              <w:highlight w:val="none"/>
            </w:rPr>
            <w:instrText xml:space="preserve"> HYPERLINK \l _Toc4430 </w:instrText>
          </w:r>
          <w:r>
            <w:rPr>
              <w:color w:val="auto"/>
              <w:sz w:val="28"/>
              <w:szCs w:val="48"/>
              <w:highlight w:val="none"/>
            </w:rPr>
            <w:fldChar w:fldCharType="separate"/>
          </w:r>
          <w:r>
            <w:rPr>
              <w:rFonts w:hint="eastAsia" w:ascii="宋体" w:hAnsi="宋体" w:eastAsia="宋体" w:cs="宋体"/>
              <w:bCs/>
              <w:color w:val="auto"/>
              <w:sz w:val="28"/>
              <w:szCs w:val="28"/>
              <w:highlight w:val="none"/>
            </w:rPr>
            <w:t>第一章 招标公告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_Toc4430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color w:val="auto"/>
              <w:sz w:val="28"/>
              <w:szCs w:val="48"/>
              <w:highlight w:val="none"/>
            </w:rPr>
            <w:fldChar w:fldCharType="end"/>
          </w:r>
        </w:p>
        <w:p w14:paraId="1122E92F">
          <w:pPr>
            <w:pStyle w:val="31"/>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sz w:val="28"/>
              <w:szCs w:val="28"/>
              <w:highlight w:val="none"/>
            </w:rPr>
          </w:pPr>
          <w:r>
            <w:rPr>
              <w:color w:val="auto"/>
              <w:sz w:val="28"/>
              <w:szCs w:val="48"/>
              <w:highlight w:val="none"/>
            </w:rPr>
            <w:fldChar w:fldCharType="begin"/>
          </w:r>
          <w:r>
            <w:rPr>
              <w:color w:val="auto"/>
              <w:sz w:val="28"/>
              <w:szCs w:val="48"/>
              <w:highlight w:val="none"/>
            </w:rPr>
            <w:instrText xml:space="preserve"> HYPERLINK \l _Toc27709 </w:instrText>
          </w:r>
          <w:r>
            <w:rPr>
              <w:color w:val="auto"/>
              <w:sz w:val="28"/>
              <w:szCs w:val="48"/>
              <w:highlight w:val="none"/>
            </w:rPr>
            <w:fldChar w:fldCharType="separate"/>
          </w:r>
          <w:r>
            <w:rPr>
              <w:rFonts w:hint="eastAsia" w:ascii="宋体" w:hAnsi="宋体" w:eastAsia="宋体" w:cs="宋体"/>
              <w:color w:val="auto"/>
              <w:sz w:val="28"/>
              <w:szCs w:val="28"/>
              <w:highlight w:val="none"/>
              <w:lang w:val="en-US" w:eastAsia="zh-CN"/>
            </w:rPr>
            <w:t>第二章 投标人须知</w:t>
          </w:r>
          <w:r>
            <w:rPr>
              <w:color w:val="auto"/>
              <w:sz w:val="28"/>
              <w:szCs w:val="28"/>
              <w:highlight w:val="none"/>
            </w:rPr>
            <w:tab/>
          </w:r>
          <w:r>
            <w:rPr>
              <w:rFonts w:hint="eastAsia"/>
              <w:color w:val="auto"/>
              <w:sz w:val="28"/>
              <w:szCs w:val="28"/>
              <w:highlight w:val="none"/>
              <w:lang w:val="en-US" w:eastAsia="zh-CN"/>
            </w:rPr>
            <w:t>7</w:t>
          </w:r>
          <w:r>
            <w:rPr>
              <w:color w:val="auto"/>
              <w:sz w:val="28"/>
              <w:szCs w:val="48"/>
              <w:highlight w:val="none"/>
            </w:rPr>
            <w:fldChar w:fldCharType="end"/>
          </w:r>
        </w:p>
        <w:p w14:paraId="747E6A29">
          <w:pPr>
            <w:pStyle w:val="31"/>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sz w:val="28"/>
              <w:szCs w:val="28"/>
              <w:highlight w:val="none"/>
            </w:rPr>
          </w:pPr>
          <w:r>
            <w:rPr>
              <w:color w:val="auto"/>
              <w:sz w:val="28"/>
              <w:szCs w:val="48"/>
              <w:highlight w:val="none"/>
            </w:rPr>
            <w:fldChar w:fldCharType="begin"/>
          </w:r>
          <w:r>
            <w:rPr>
              <w:color w:val="auto"/>
              <w:sz w:val="28"/>
              <w:szCs w:val="48"/>
              <w:highlight w:val="none"/>
            </w:rPr>
            <w:instrText xml:space="preserve"> HYPERLINK \l _Toc21471 </w:instrText>
          </w:r>
          <w:r>
            <w:rPr>
              <w:color w:val="auto"/>
              <w:sz w:val="28"/>
              <w:szCs w:val="48"/>
              <w:highlight w:val="none"/>
            </w:rPr>
            <w:fldChar w:fldCharType="separate"/>
          </w:r>
          <w:r>
            <w:rPr>
              <w:rFonts w:hint="eastAsia" w:ascii="宋体" w:hAnsi="宋体" w:eastAsia="宋体" w:cs="宋体"/>
              <w:bCs/>
              <w:color w:val="auto"/>
              <w:sz w:val="28"/>
              <w:szCs w:val="48"/>
              <w:highlight w:val="none"/>
            </w:rPr>
            <w:t>第三章 评标办法（综合评分法）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_Toc21471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color w:val="auto"/>
              <w:sz w:val="28"/>
              <w:szCs w:val="48"/>
              <w:highlight w:val="none"/>
            </w:rPr>
            <w:fldChar w:fldCharType="end"/>
          </w:r>
        </w:p>
        <w:p w14:paraId="24565ABC">
          <w:pPr>
            <w:pStyle w:val="31"/>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sz w:val="28"/>
              <w:szCs w:val="28"/>
              <w:highlight w:val="none"/>
            </w:rPr>
          </w:pPr>
          <w:r>
            <w:rPr>
              <w:color w:val="auto"/>
              <w:sz w:val="28"/>
              <w:szCs w:val="48"/>
              <w:highlight w:val="none"/>
            </w:rPr>
            <w:fldChar w:fldCharType="begin"/>
          </w:r>
          <w:r>
            <w:rPr>
              <w:color w:val="auto"/>
              <w:sz w:val="28"/>
              <w:szCs w:val="48"/>
              <w:highlight w:val="none"/>
            </w:rPr>
            <w:instrText xml:space="preserve"> HYPERLINK \l _Toc15242 </w:instrText>
          </w:r>
          <w:r>
            <w:rPr>
              <w:color w:val="auto"/>
              <w:sz w:val="28"/>
              <w:szCs w:val="48"/>
              <w:highlight w:val="none"/>
            </w:rPr>
            <w:fldChar w:fldCharType="separate"/>
          </w:r>
          <w:r>
            <w:rPr>
              <w:rFonts w:hint="eastAsia" w:ascii="宋体" w:hAnsi="宋体" w:eastAsia="宋体" w:cs="宋体"/>
              <w:bCs/>
              <w:color w:val="auto"/>
              <w:sz w:val="28"/>
              <w:szCs w:val="48"/>
              <w:highlight w:val="none"/>
            </w:rPr>
            <w:t>第四章 合同条款及格式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_Toc15242 \h </w:instrText>
          </w:r>
          <w:r>
            <w:rPr>
              <w:color w:val="auto"/>
              <w:sz w:val="28"/>
              <w:szCs w:val="28"/>
              <w:highlight w:val="none"/>
            </w:rPr>
            <w:fldChar w:fldCharType="separate"/>
          </w:r>
          <w:r>
            <w:rPr>
              <w:color w:val="auto"/>
              <w:sz w:val="28"/>
              <w:szCs w:val="28"/>
              <w:highlight w:val="none"/>
            </w:rPr>
            <w:t>33</w:t>
          </w:r>
          <w:r>
            <w:rPr>
              <w:color w:val="auto"/>
              <w:sz w:val="28"/>
              <w:szCs w:val="28"/>
              <w:highlight w:val="none"/>
            </w:rPr>
            <w:fldChar w:fldCharType="end"/>
          </w:r>
          <w:r>
            <w:rPr>
              <w:color w:val="auto"/>
              <w:sz w:val="28"/>
              <w:szCs w:val="48"/>
              <w:highlight w:val="none"/>
            </w:rPr>
            <w:fldChar w:fldCharType="end"/>
          </w:r>
        </w:p>
        <w:p w14:paraId="7E5672DF">
          <w:pPr>
            <w:pStyle w:val="31"/>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sz w:val="28"/>
              <w:szCs w:val="28"/>
              <w:highlight w:val="none"/>
            </w:rPr>
          </w:pPr>
          <w:r>
            <w:rPr>
              <w:color w:val="auto"/>
              <w:sz w:val="28"/>
              <w:szCs w:val="48"/>
              <w:highlight w:val="none"/>
            </w:rPr>
            <w:fldChar w:fldCharType="begin"/>
          </w:r>
          <w:r>
            <w:rPr>
              <w:color w:val="auto"/>
              <w:sz w:val="28"/>
              <w:szCs w:val="48"/>
              <w:highlight w:val="none"/>
            </w:rPr>
            <w:instrText xml:space="preserve"> HYPERLINK \l _Toc4250 </w:instrText>
          </w:r>
          <w:r>
            <w:rPr>
              <w:color w:val="auto"/>
              <w:sz w:val="28"/>
              <w:szCs w:val="48"/>
              <w:highlight w:val="none"/>
            </w:rPr>
            <w:fldChar w:fldCharType="separate"/>
          </w:r>
          <w:r>
            <w:rPr>
              <w:rFonts w:hint="eastAsia" w:ascii="宋体" w:hAnsi="宋体" w:eastAsia="宋体" w:cs="宋体"/>
              <w:bCs/>
              <w:color w:val="auto"/>
              <w:sz w:val="28"/>
              <w:szCs w:val="48"/>
              <w:highlight w:val="none"/>
            </w:rPr>
            <w:t>第五章 服务内容及要求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_Toc4250 \h </w:instrText>
          </w:r>
          <w:r>
            <w:rPr>
              <w:color w:val="auto"/>
              <w:sz w:val="28"/>
              <w:szCs w:val="28"/>
              <w:highlight w:val="none"/>
            </w:rPr>
            <w:fldChar w:fldCharType="separate"/>
          </w:r>
          <w:r>
            <w:rPr>
              <w:color w:val="auto"/>
              <w:sz w:val="28"/>
              <w:szCs w:val="28"/>
              <w:highlight w:val="none"/>
            </w:rPr>
            <w:t>36</w:t>
          </w:r>
          <w:r>
            <w:rPr>
              <w:color w:val="auto"/>
              <w:sz w:val="28"/>
              <w:szCs w:val="28"/>
              <w:highlight w:val="none"/>
            </w:rPr>
            <w:fldChar w:fldCharType="end"/>
          </w:r>
          <w:r>
            <w:rPr>
              <w:color w:val="auto"/>
              <w:sz w:val="28"/>
              <w:szCs w:val="48"/>
              <w:highlight w:val="none"/>
            </w:rPr>
            <w:fldChar w:fldCharType="end"/>
          </w:r>
        </w:p>
        <w:p w14:paraId="45D5DB5A">
          <w:pPr>
            <w:pStyle w:val="31"/>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color w:val="auto"/>
              <w:sz w:val="22"/>
              <w:szCs w:val="22"/>
              <w:highlight w:val="none"/>
            </w:rPr>
          </w:pPr>
          <w:r>
            <w:rPr>
              <w:color w:val="auto"/>
              <w:sz w:val="28"/>
              <w:szCs w:val="48"/>
              <w:highlight w:val="none"/>
            </w:rPr>
            <w:fldChar w:fldCharType="begin"/>
          </w:r>
          <w:r>
            <w:rPr>
              <w:color w:val="auto"/>
              <w:sz w:val="28"/>
              <w:szCs w:val="48"/>
              <w:highlight w:val="none"/>
            </w:rPr>
            <w:instrText xml:space="preserve"> HYPERLINK \l _Toc23326 </w:instrText>
          </w:r>
          <w:r>
            <w:rPr>
              <w:color w:val="auto"/>
              <w:sz w:val="28"/>
              <w:szCs w:val="48"/>
              <w:highlight w:val="none"/>
            </w:rPr>
            <w:fldChar w:fldCharType="separate"/>
          </w:r>
          <w:r>
            <w:rPr>
              <w:rFonts w:hint="eastAsia" w:ascii="宋体" w:hAnsi="宋体" w:eastAsia="宋体" w:cs="宋体"/>
              <w:bCs/>
              <w:color w:val="auto"/>
              <w:sz w:val="28"/>
              <w:szCs w:val="4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_Toc23326 \h </w:instrText>
          </w:r>
          <w:r>
            <w:rPr>
              <w:color w:val="auto"/>
              <w:sz w:val="28"/>
              <w:szCs w:val="28"/>
              <w:highlight w:val="none"/>
            </w:rPr>
            <w:fldChar w:fldCharType="separate"/>
          </w:r>
          <w:r>
            <w:rPr>
              <w:color w:val="auto"/>
              <w:sz w:val="28"/>
              <w:szCs w:val="28"/>
              <w:highlight w:val="none"/>
            </w:rPr>
            <w:t>44</w:t>
          </w:r>
          <w:r>
            <w:rPr>
              <w:color w:val="auto"/>
              <w:sz w:val="28"/>
              <w:szCs w:val="28"/>
              <w:highlight w:val="none"/>
            </w:rPr>
            <w:fldChar w:fldCharType="end"/>
          </w:r>
          <w:r>
            <w:rPr>
              <w:color w:val="auto"/>
              <w:sz w:val="28"/>
              <w:szCs w:val="48"/>
              <w:highlight w:val="none"/>
            </w:rPr>
            <w:fldChar w:fldCharType="end"/>
          </w:r>
        </w:p>
        <w:p w14:paraId="1938D4D2">
          <w:pPr>
            <w:pStyle w:val="31"/>
            <w:tabs>
              <w:tab w:val="right" w:leader="dot" w:pos="8306"/>
            </w:tabs>
            <w:rPr>
              <w:color w:val="auto"/>
              <w:sz w:val="22"/>
              <w:szCs w:val="22"/>
              <w:highlight w:val="none"/>
            </w:rPr>
          </w:pPr>
        </w:p>
        <w:p w14:paraId="62C64C07">
          <w:pPr>
            <w:pStyle w:val="31"/>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ascii="Times New Roman" w:hAnsi="Times New Roman" w:eastAsia="宋体" w:cs="Times New Roman"/>
              <w:b/>
              <w:bCs/>
              <w:caps/>
              <w:color w:val="auto"/>
              <w:kern w:val="2"/>
              <w:sz w:val="20"/>
              <w:szCs w:val="32"/>
              <w:highlight w:val="none"/>
              <w:lang w:val="en-US" w:eastAsia="zh-CN" w:bidi="ar-SA"/>
            </w:rPr>
          </w:pPr>
          <w:r>
            <w:rPr>
              <w:color w:val="auto"/>
              <w:sz w:val="22"/>
              <w:szCs w:val="40"/>
              <w:highlight w:val="none"/>
            </w:rPr>
            <w:fldChar w:fldCharType="end"/>
          </w:r>
        </w:p>
      </w:sdtContent>
    </w:sdt>
    <w:p w14:paraId="2AEFB6EE">
      <w:pPr>
        <w:rPr>
          <w:color w:val="auto"/>
          <w:highlight w:val="none"/>
        </w:rPr>
      </w:pPr>
    </w:p>
    <w:p w14:paraId="3F419272">
      <w:pPr>
        <w:pStyle w:val="31"/>
        <w:tabs>
          <w:tab w:val="right" w:leader="dot" w:pos="8306"/>
        </w:tabs>
        <w:rPr>
          <w:color w:val="auto"/>
          <w:sz w:val="32"/>
          <w:szCs w:val="32"/>
          <w:highlight w:val="none"/>
        </w:rPr>
      </w:pPr>
    </w:p>
    <w:p w14:paraId="3195F714">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fldChar w:fldCharType="end"/>
      </w:r>
    </w:p>
    <w:p w14:paraId="1149DE16">
      <w:pPr>
        <w:pStyle w:val="3"/>
        <w:tabs>
          <w:tab w:val="left" w:pos="425"/>
        </w:tabs>
        <w:spacing w:before="0" w:after="0"/>
        <w:outlineLvl w:val="9"/>
        <w:rPr>
          <w:rFonts w:hint="eastAsia" w:ascii="宋体" w:hAnsi="宋体" w:eastAsia="宋体" w:cs="宋体"/>
          <w:color w:val="auto"/>
          <w:highlight w:val="none"/>
        </w:rPr>
        <w:sectPr>
          <w:footerReference r:id="rId4" w:type="default"/>
          <w:pgSz w:w="11906" w:h="16838"/>
          <w:pgMar w:top="1440" w:right="1800" w:bottom="1440" w:left="1800" w:header="851" w:footer="992" w:gutter="0"/>
          <w:pgNumType w:fmt="decimal" w:start="2" w:chapStyle="2" w:chapSep="period"/>
          <w:cols w:space="720" w:num="1"/>
          <w:docGrid w:type="lines" w:linePitch="312" w:charSpace="0"/>
        </w:sectPr>
      </w:pPr>
      <w:bookmarkStart w:id="8" w:name="_Toc505093129"/>
      <w:bookmarkStart w:id="9" w:name="_Toc709"/>
      <w:bookmarkStart w:id="10" w:name="_Toc14001"/>
    </w:p>
    <w:p w14:paraId="40D3BDA0">
      <w:pPr>
        <w:pStyle w:val="3"/>
        <w:tabs>
          <w:tab w:val="left" w:pos="425"/>
        </w:tabs>
        <w:spacing w:before="0" w:after="0"/>
        <w:jc w:val="center"/>
        <w:outlineLvl w:val="0"/>
        <w:rPr>
          <w:rFonts w:hint="eastAsia" w:ascii="宋体" w:hAnsi="宋体" w:eastAsia="宋体" w:cs="宋体"/>
          <w:b/>
          <w:bCs/>
          <w:color w:val="auto"/>
          <w:sz w:val="24"/>
          <w:szCs w:val="24"/>
          <w:highlight w:val="none"/>
        </w:rPr>
      </w:pPr>
      <w:bookmarkStart w:id="11" w:name="_Toc4430"/>
      <w:bookmarkStart w:id="12" w:name="_Toc11827"/>
      <w:bookmarkStart w:id="13" w:name="_Toc1996"/>
      <w:bookmarkStart w:id="14" w:name="_Toc4376"/>
      <w:r>
        <w:rPr>
          <w:rFonts w:hint="eastAsia" w:ascii="宋体" w:hAnsi="宋体" w:eastAsia="宋体" w:cs="宋体"/>
          <w:b/>
          <w:bCs/>
          <w:color w:val="auto"/>
          <w:highlight w:val="none"/>
        </w:rPr>
        <w:t>第一章 招标公告</w:t>
      </w:r>
      <w:bookmarkEnd w:id="11"/>
      <w:bookmarkEnd w:id="12"/>
      <w:bookmarkEnd w:id="13"/>
      <w:bookmarkEnd w:id="14"/>
    </w:p>
    <w:bookmarkEnd w:id="8"/>
    <w:bookmarkEnd w:id="9"/>
    <w:bookmarkEnd w:id="10"/>
    <w:p w14:paraId="54CF02DE">
      <w:pPr>
        <w:spacing w:line="360" w:lineRule="auto"/>
        <w:outlineLvl w:val="1"/>
        <w:rPr>
          <w:rFonts w:hint="eastAsia" w:ascii="宋体" w:hAnsi="宋体" w:eastAsia="宋体" w:cs="宋体"/>
          <w:b/>
          <w:color w:val="auto"/>
          <w:sz w:val="24"/>
          <w:highlight w:val="none"/>
        </w:rPr>
      </w:pPr>
      <w:bookmarkStart w:id="15" w:name="_Toc13566"/>
      <w:bookmarkStart w:id="16" w:name="_Toc19573"/>
      <w:bookmarkStart w:id="17" w:name="_Toc6732"/>
      <w:bookmarkStart w:id="18" w:name="_Toc23902"/>
      <w:r>
        <w:rPr>
          <w:rFonts w:hint="eastAsia" w:ascii="宋体" w:hAnsi="宋体" w:eastAsia="宋体" w:cs="宋体"/>
          <w:b/>
          <w:color w:val="auto"/>
          <w:sz w:val="24"/>
          <w:highlight w:val="none"/>
        </w:rPr>
        <w:t>一、招标条件</w:t>
      </w:r>
      <w:bookmarkEnd w:id="15"/>
      <w:bookmarkEnd w:id="16"/>
      <w:bookmarkEnd w:id="17"/>
      <w:bookmarkEnd w:id="18"/>
    </w:p>
    <w:p w14:paraId="05387C6E">
      <w:pPr>
        <w:spacing w:line="360" w:lineRule="auto"/>
        <w:ind w:firstLine="480" w:firstLineChars="200"/>
        <w:outlineLvl w:val="0"/>
        <w:rPr>
          <w:rFonts w:hint="eastAsia" w:ascii="宋体" w:hAnsi="宋体" w:eastAsia="宋体" w:cs="宋体"/>
          <w:b/>
          <w:bCs/>
          <w:color w:val="auto"/>
          <w:sz w:val="24"/>
          <w:highlight w:val="none"/>
        </w:rPr>
      </w:pPr>
      <w:bookmarkStart w:id="19" w:name="_Toc20973"/>
      <w:bookmarkStart w:id="20" w:name="_Toc7468"/>
      <w:bookmarkStart w:id="21" w:name="_Toc1413"/>
      <w:bookmarkStart w:id="22" w:name="_Toc15114"/>
      <w:bookmarkStart w:id="23" w:name="_Toc30618"/>
      <w:bookmarkStart w:id="24" w:name="_Toc10896"/>
      <w:bookmarkStart w:id="25" w:name="_Toc7671"/>
      <w:bookmarkStart w:id="26" w:name="_Toc2741"/>
      <w:bookmarkStart w:id="27" w:name="_Toc6510"/>
      <w:bookmarkStart w:id="28" w:name="_Toc505093130"/>
      <w:r>
        <w:rPr>
          <w:rFonts w:hint="eastAsia" w:ascii="宋体" w:hAnsi="宋体" w:cs="宋体"/>
          <w:bCs/>
          <w:color w:val="auto"/>
          <w:sz w:val="24"/>
          <w:highlight w:val="none"/>
          <w:lang w:eastAsia="zh-CN"/>
        </w:rPr>
        <w:t>湖滨区社会治安综合治理中心提升项目</w:t>
      </w:r>
      <w:r>
        <w:rPr>
          <w:rFonts w:hint="eastAsia" w:ascii="宋体" w:hAnsi="宋体" w:eastAsia="宋体" w:cs="宋体"/>
          <w:color w:val="auto"/>
          <w:sz w:val="24"/>
          <w:highlight w:val="none"/>
        </w:rPr>
        <w:t>，资金来源为</w:t>
      </w:r>
      <w:r>
        <w:rPr>
          <w:rFonts w:hint="eastAsia" w:ascii="宋体" w:hAnsi="宋体" w:cs="宋体"/>
          <w:color w:val="auto"/>
          <w:sz w:val="24"/>
          <w:highlight w:val="none"/>
          <w:lang w:eastAsia="zh-CN"/>
        </w:rPr>
        <w:t>财政</w:t>
      </w:r>
      <w:r>
        <w:rPr>
          <w:rFonts w:hint="eastAsia" w:ascii="宋体" w:hAnsi="宋体" w:eastAsia="宋体" w:cs="宋体"/>
          <w:color w:val="auto"/>
          <w:sz w:val="24"/>
          <w:highlight w:val="none"/>
        </w:rPr>
        <w:t>资金，</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为</w:t>
      </w:r>
      <w:r>
        <w:rPr>
          <w:rFonts w:hint="eastAsia" w:ascii="宋体" w:hAnsi="宋体" w:cs="宋体"/>
          <w:bCs/>
          <w:color w:val="auto"/>
          <w:sz w:val="24"/>
          <w:highlight w:val="none"/>
          <w:lang w:eastAsia="zh-CN"/>
        </w:rPr>
        <w:t>中共三门峡市湖滨区委政法委员会</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采购代理机构</w:t>
      </w:r>
      <w:r>
        <w:rPr>
          <w:rFonts w:hint="eastAsia" w:ascii="宋体" w:hAnsi="宋体" w:eastAsia="宋体" w:cs="宋体"/>
          <w:color w:val="auto"/>
          <w:sz w:val="24"/>
          <w:highlight w:val="none"/>
        </w:rPr>
        <w:t>为河南恒泽顺工程管理有限公司。项目已具备招标条件，现对该项目进行公开招标，欢迎符合相关条件的单位参加投标。</w:t>
      </w:r>
      <w:bookmarkEnd w:id="19"/>
      <w:bookmarkEnd w:id="20"/>
      <w:bookmarkEnd w:id="21"/>
      <w:bookmarkEnd w:id="22"/>
      <w:bookmarkEnd w:id="23"/>
      <w:bookmarkEnd w:id="24"/>
      <w:bookmarkEnd w:id="25"/>
      <w:bookmarkEnd w:id="26"/>
      <w:bookmarkEnd w:id="27"/>
    </w:p>
    <w:p w14:paraId="02C901BF">
      <w:pPr>
        <w:spacing w:line="360" w:lineRule="auto"/>
        <w:outlineLvl w:val="1"/>
        <w:rPr>
          <w:rFonts w:hint="eastAsia" w:ascii="宋体" w:hAnsi="宋体" w:eastAsia="宋体" w:cs="宋体"/>
          <w:b/>
          <w:color w:val="auto"/>
          <w:sz w:val="24"/>
          <w:highlight w:val="none"/>
        </w:rPr>
      </w:pPr>
      <w:bookmarkStart w:id="29" w:name="_Toc5839"/>
      <w:bookmarkStart w:id="30" w:name="_Toc22725"/>
      <w:bookmarkStart w:id="31" w:name="_Toc8828"/>
      <w:bookmarkStart w:id="32" w:name="_Toc4508"/>
      <w:bookmarkStart w:id="33" w:name="_Toc8012"/>
      <w:bookmarkStart w:id="34" w:name="_Toc27949"/>
      <w:r>
        <w:rPr>
          <w:rFonts w:hint="eastAsia" w:ascii="宋体" w:hAnsi="宋体" w:eastAsia="宋体" w:cs="宋体"/>
          <w:b/>
          <w:color w:val="auto"/>
          <w:sz w:val="24"/>
          <w:highlight w:val="none"/>
        </w:rPr>
        <w:t>二、项目概况与招标范围</w:t>
      </w:r>
      <w:bookmarkEnd w:id="28"/>
      <w:bookmarkEnd w:id="29"/>
      <w:bookmarkEnd w:id="30"/>
      <w:bookmarkEnd w:id="31"/>
      <w:bookmarkEnd w:id="32"/>
      <w:bookmarkEnd w:id="33"/>
      <w:bookmarkEnd w:id="34"/>
    </w:p>
    <w:p w14:paraId="3078D585">
      <w:pPr>
        <w:spacing w:line="360" w:lineRule="auto"/>
        <w:ind w:firstLine="480" w:firstLineChars="200"/>
        <w:outlineLvl w:val="0"/>
        <w:rPr>
          <w:rFonts w:hint="eastAsia" w:ascii="宋体" w:hAnsi="宋体" w:cs="宋体"/>
          <w:bCs/>
          <w:color w:val="auto"/>
          <w:sz w:val="24"/>
          <w:highlight w:val="none"/>
          <w:lang w:eastAsia="zh-CN"/>
        </w:rPr>
      </w:pPr>
      <w:bookmarkStart w:id="35" w:name="_Toc3519"/>
      <w:bookmarkStart w:id="36" w:name="_Toc23542"/>
      <w:bookmarkStart w:id="37" w:name="_Toc505093131"/>
      <w:bookmarkStart w:id="38" w:name="_Toc9600"/>
      <w:bookmarkStart w:id="39" w:name="_Toc18796"/>
      <w:bookmarkStart w:id="40" w:name="_Toc13612"/>
      <w:bookmarkStart w:id="41" w:name="_Toc29613"/>
      <w:bookmarkStart w:id="42" w:name="_Toc3188"/>
      <w:bookmarkStart w:id="43" w:name="_Toc31659"/>
      <w:bookmarkStart w:id="44" w:name="_Toc27625"/>
      <w:r>
        <w:rPr>
          <w:rFonts w:hint="eastAsia" w:ascii="宋体" w:hAnsi="宋体" w:cs="宋体"/>
          <w:bCs/>
          <w:color w:val="auto"/>
          <w:sz w:val="24"/>
          <w:highlight w:val="none"/>
          <w:lang w:eastAsia="zh-CN"/>
        </w:rPr>
        <w:t>1</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lang w:eastAsia="zh-CN"/>
        </w:rPr>
        <w:t>项目名称：</w:t>
      </w:r>
      <w:bookmarkEnd w:id="35"/>
      <w:bookmarkEnd w:id="36"/>
      <w:bookmarkEnd w:id="37"/>
      <w:bookmarkEnd w:id="38"/>
      <w:bookmarkEnd w:id="39"/>
      <w:bookmarkEnd w:id="40"/>
      <w:bookmarkStart w:id="45" w:name="_Toc28196"/>
      <w:bookmarkStart w:id="46" w:name="_Toc16566"/>
      <w:bookmarkStart w:id="47" w:name="_Toc32218"/>
      <w:bookmarkStart w:id="48" w:name="_Toc6856"/>
      <w:bookmarkStart w:id="49" w:name="_Toc1859"/>
      <w:r>
        <w:rPr>
          <w:rFonts w:hint="eastAsia" w:ascii="宋体" w:hAnsi="宋体" w:cs="宋体"/>
          <w:bCs/>
          <w:color w:val="auto"/>
          <w:sz w:val="24"/>
          <w:highlight w:val="none"/>
          <w:lang w:eastAsia="zh-CN"/>
        </w:rPr>
        <w:t>湖滨区社会治安综合治理中心提升项目；</w:t>
      </w:r>
      <w:bookmarkEnd w:id="41"/>
      <w:bookmarkEnd w:id="42"/>
      <w:bookmarkEnd w:id="43"/>
      <w:bookmarkEnd w:id="44"/>
    </w:p>
    <w:p w14:paraId="53ED1401">
      <w:pPr>
        <w:spacing w:line="360" w:lineRule="auto"/>
        <w:ind w:firstLine="480" w:firstLineChars="200"/>
        <w:outlineLvl w:val="0"/>
        <w:rPr>
          <w:rFonts w:hint="default" w:ascii="宋体" w:hAnsi="宋体" w:cs="宋体"/>
          <w:bCs/>
          <w:color w:val="auto"/>
          <w:sz w:val="24"/>
          <w:highlight w:val="none"/>
          <w:lang w:val="en-US" w:eastAsia="zh-CN"/>
        </w:rPr>
      </w:pPr>
      <w:bookmarkStart w:id="50" w:name="_Toc32598"/>
      <w:bookmarkStart w:id="51" w:name="_Toc20323"/>
      <w:bookmarkStart w:id="52" w:name="_Toc6223"/>
      <w:bookmarkStart w:id="53" w:name="_Toc13830"/>
      <w:r>
        <w:rPr>
          <w:rFonts w:hint="eastAsia" w:ascii="宋体" w:hAnsi="宋体" w:cs="宋体"/>
          <w:bCs/>
          <w:color w:val="auto"/>
          <w:sz w:val="24"/>
          <w:highlight w:val="none"/>
          <w:lang w:eastAsia="zh-CN"/>
        </w:rPr>
        <w:t>2</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lang w:eastAsia="zh-CN"/>
        </w:rPr>
        <w:t>项目编号：</w:t>
      </w:r>
      <w:bookmarkEnd w:id="45"/>
      <w:bookmarkEnd w:id="46"/>
      <w:bookmarkEnd w:id="47"/>
      <w:bookmarkEnd w:id="48"/>
      <w:bookmarkEnd w:id="49"/>
      <w:bookmarkEnd w:id="50"/>
      <w:bookmarkEnd w:id="51"/>
      <w:bookmarkEnd w:id="52"/>
      <w:bookmarkEnd w:id="53"/>
      <w:bookmarkStart w:id="54" w:name="_Toc21592"/>
      <w:bookmarkStart w:id="55" w:name="_Toc6226"/>
      <w:bookmarkStart w:id="56" w:name="_Toc6910"/>
      <w:bookmarkStart w:id="57" w:name="_Toc505093133"/>
      <w:bookmarkStart w:id="58" w:name="_Toc15853"/>
      <w:bookmarkStart w:id="59" w:name="_Toc19586"/>
      <w:r>
        <w:rPr>
          <w:rFonts w:hint="eastAsia" w:ascii="宋体" w:hAnsi="宋体" w:cs="宋体"/>
          <w:bCs/>
          <w:color w:val="auto"/>
          <w:sz w:val="24"/>
          <w:highlight w:val="none"/>
          <w:lang w:eastAsia="zh-CN"/>
        </w:rPr>
        <w:t>湖滨公开采购-2025-2</w:t>
      </w:r>
      <w:r>
        <w:rPr>
          <w:rFonts w:hint="eastAsia" w:ascii="宋体" w:hAnsi="宋体" w:cs="宋体"/>
          <w:bCs/>
          <w:color w:val="auto"/>
          <w:sz w:val="24"/>
          <w:highlight w:val="none"/>
          <w:lang w:val="en-US" w:eastAsia="zh-CN"/>
        </w:rPr>
        <w:t xml:space="preserve">5  SGZ[2025]565-ZC370 </w:t>
      </w:r>
    </w:p>
    <w:p w14:paraId="05DAA125">
      <w:pPr>
        <w:spacing w:line="360" w:lineRule="auto"/>
        <w:ind w:firstLine="480" w:firstLineChars="200"/>
        <w:outlineLvl w:val="0"/>
        <w:rPr>
          <w:rFonts w:hint="default" w:ascii="宋体" w:hAnsi="宋体" w:eastAsia="宋体" w:cs="宋体"/>
          <w:color w:val="auto"/>
          <w:sz w:val="24"/>
          <w:highlight w:val="none"/>
          <w:lang w:val="en-US" w:eastAsia="zh-CN"/>
        </w:rPr>
      </w:pPr>
      <w:bookmarkStart w:id="60" w:name="_Toc9323"/>
      <w:bookmarkStart w:id="61" w:name="_Toc28778"/>
      <w:bookmarkStart w:id="62" w:name="_Toc29347"/>
      <w:bookmarkStart w:id="63" w:name="_Toc14325"/>
      <w:r>
        <w:rPr>
          <w:rFonts w:hint="eastAsia" w:ascii="宋体" w:hAnsi="宋体" w:cs="宋体"/>
          <w:color w:val="auto"/>
          <w:sz w:val="24"/>
          <w:highlight w:val="none"/>
          <w:lang w:val="en-US" w:eastAsia="zh-CN"/>
        </w:rPr>
        <w:t>3.建设内容及规模：打造线上综治信息化平台暨集成“雪亮工程”平台智慧查控、补点建设和设施场所扩建，做到线上平台全区互联、全域智控、全时响应、全链贯通，“雪亮工程”全域覆盖、全网共享、全时可用、全程可控，新增简易法庭、调解室等。</w:t>
      </w:r>
    </w:p>
    <w:p w14:paraId="1DE98524">
      <w:pPr>
        <w:spacing w:line="360" w:lineRule="auto"/>
        <w:ind w:firstLine="480" w:firstLineChars="200"/>
        <w:outlineLvl w:val="0"/>
        <w:rPr>
          <w:rFonts w:hint="eastAsia" w:ascii="宋体" w:hAnsi="宋体" w:cs="宋体"/>
          <w:bCs/>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lang w:val="en-US" w:eastAsia="zh-CN"/>
        </w:rPr>
        <w:t>内容</w:t>
      </w:r>
      <w:r>
        <w:rPr>
          <w:rFonts w:hint="eastAsia" w:ascii="宋体" w:hAnsi="宋体" w:eastAsia="宋体" w:cs="宋体"/>
          <w:color w:val="auto"/>
          <w:sz w:val="24"/>
          <w:highlight w:val="none"/>
        </w:rPr>
        <w:t>：</w:t>
      </w:r>
      <w:bookmarkEnd w:id="54"/>
      <w:bookmarkEnd w:id="55"/>
      <w:bookmarkEnd w:id="56"/>
      <w:bookmarkEnd w:id="57"/>
      <w:bookmarkEnd w:id="58"/>
      <w:bookmarkEnd w:id="59"/>
      <w:bookmarkStart w:id="64" w:name="_Toc505093139"/>
      <w:r>
        <w:rPr>
          <w:rFonts w:hint="eastAsia" w:ascii="宋体" w:hAnsi="宋体" w:eastAsia="宋体" w:cs="宋体"/>
          <w:color w:val="auto"/>
          <w:sz w:val="24"/>
          <w:highlight w:val="none"/>
          <w:lang w:val="en-US" w:eastAsia="zh-CN"/>
        </w:rPr>
        <w:t>本项目为湖滨区社会治安综合治理中心提升项目，主要内容包括：社会公共视频资源运营管理平台建设</w:t>
      </w:r>
      <w:r>
        <w:rPr>
          <w:rFonts w:hint="eastAsia" w:ascii="宋体" w:hAnsi="宋体" w:cs="宋体"/>
          <w:color w:val="auto"/>
          <w:sz w:val="24"/>
          <w:highlight w:val="none"/>
          <w:lang w:val="en-US" w:eastAsia="zh-CN"/>
        </w:rPr>
        <w:t>，社会公共视频资源监控补点建设服务及综治中心场所环境改造服务等</w:t>
      </w:r>
      <w:r>
        <w:rPr>
          <w:rFonts w:hint="eastAsia" w:ascii="宋体" w:hAnsi="宋体" w:cs="宋体"/>
          <w:bCs/>
          <w:color w:val="auto"/>
          <w:sz w:val="24"/>
          <w:highlight w:val="none"/>
          <w:lang w:val="en-US" w:eastAsia="zh-CN"/>
        </w:rPr>
        <w:t>；</w:t>
      </w:r>
      <w:bookmarkEnd w:id="60"/>
      <w:bookmarkEnd w:id="61"/>
      <w:bookmarkEnd w:id="62"/>
      <w:r>
        <w:rPr>
          <w:rFonts w:hint="eastAsia" w:ascii="宋体" w:hAnsi="宋体" w:cs="宋体"/>
          <w:bCs/>
          <w:color w:val="auto"/>
          <w:sz w:val="24"/>
          <w:highlight w:val="none"/>
          <w:lang w:val="en-US" w:eastAsia="zh-CN"/>
        </w:rPr>
        <w:t>具体内容详见招标文件第五章服务内容及要求。</w:t>
      </w:r>
      <w:bookmarkEnd w:id="63"/>
    </w:p>
    <w:p w14:paraId="07EEB872">
      <w:pPr>
        <w:spacing w:line="360" w:lineRule="auto"/>
        <w:ind w:firstLine="480" w:firstLineChars="200"/>
        <w:outlineLvl w:val="0"/>
        <w:rPr>
          <w:rFonts w:hint="eastAsia" w:ascii="宋体" w:hAnsi="宋体" w:cs="宋体"/>
          <w:bCs/>
          <w:color w:val="auto"/>
          <w:sz w:val="24"/>
          <w:highlight w:val="none"/>
          <w:lang w:eastAsia="zh-CN"/>
        </w:rPr>
      </w:pPr>
      <w:bookmarkStart w:id="65" w:name="_Toc32526"/>
      <w:bookmarkStart w:id="66" w:name="_Toc25985"/>
      <w:bookmarkStart w:id="67" w:name="_Toc28421"/>
      <w:bookmarkStart w:id="68" w:name="_Toc16462"/>
      <w:r>
        <w:rPr>
          <w:rFonts w:hint="eastAsia" w:ascii="宋体" w:hAnsi="宋体" w:cs="宋体"/>
          <w:bCs/>
          <w:color w:val="auto"/>
          <w:sz w:val="24"/>
          <w:highlight w:val="none"/>
          <w:lang w:val="en-US" w:eastAsia="zh-CN"/>
        </w:rPr>
        <w:t>5.采购控制价</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1697370.00元</w:t>
      </w:r>
      <w:r>
        <w:rPr>
          <w:rFonts w:hint="eastAsia" w:ascii="宋体" w:hAnsi="宋体" w:cs="宋体"/>
          <w:bCs/>
          <w:color w:val="auto"/>
          <w:sz w:val="24"/>
          <w:highlight w:val="none"/>
          <w:lang w:eastAsia="zh-CN"/>
        </w:rPr>
        <w:t>；</w:t>
      </w:r>
      <w:bookmarkEnd w:id="65"/>
      <w:bookmarkEnd w:id="66"/>
      <w:bookmarkEnd w:id="67"/>
      <w:bookmarkEnd w:id="68"/>
    </w:p>
    <w:p w14:paraId="2FFFB267">
      <w:pPr>
        <w:spacing w:line="49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项目地点：湖滨区社会治安综合治理中心(原湖滨区林业局一、二楼)；</w:t>
      </w:r>
    </w:p>
    <w:p w14:paraId="0120E4CA">
      <w:pPr>
        <w:spacing w:line="49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服务标准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符合国家或行业规定的合格标准，满足</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w:t>
      </w:r>
    </w:p>
    <w:p w14:paraId="2CDBEDE0">
      <w:pPr>
        <w:spacing w:line="490" w:lineRule="exact"/>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服务期</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三年</w:t>
      </w:r>
      <w:r>
        <w:rPr>
          <w:rFonts w:hint="eastAsia" w:ascii="宋体" w:hAnsi="宋体" w:eastAsia="宋体" w:cs="宋体"/>
          <w:color w:val="auto"/>
          <w:sz w:val="24"/>
          <w:highlight w:val="none"/>
        </w:rPr>
        <w:t>；</w:t>
      </w:r>
    </w:p>
    <w:p w14:paraId="2F85E848">
      <w:pPr>
        <w:spacing w:line="49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标段划分：本项目不划分标段</w:t>
      </w:r>
      <w:r>
        <w:rPr>
          <w:rFonts w:hint="eastAsia" w:ascii="宋体" w:hAnsi="宋体" w:cs="宋体"/>
          <w:color w:val="auto"/>
          <w:sz w:val="24"/>
          <w:highlight w:val="none"/>
          <w:lang w:eastAsia="zh-CN"/>
        </w:rPr>
        <w:t>；</w:t>
      </w:r>
    </w:p>
    <w:p w14:paraId="066BF4B6">
      <w:pPr>
        <w:spacing w:line="490" w:lineRule="exact"/>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10.落实政府采购政策满足的资格要求：本项目执行节能环保、中小微企业、监狱企业、 残疾人福利性单位等相关政府采购政策。</w:t>
      </w:r>
    </w:p>
    <w:p w14:paraId="0CC97510">
      <w:pPr>
        <w:spacing w:line="360" w:lineRule="auto"/>
        <w:outlineLvl w:val="1"/>
        <w:rPr>
          <w:rFonts w:hint="eastAsia" w:ascii="宋体" w:hAnsi="宋体" w:eastAsia="宋体" w:cs="宋体"/>
          <w:b/>
          <w:bCs/>
          <w:color w:val="auto"/>
          <w:sz w:val="24"/>
          <w:highlight w:val="none"/>
        </w:rPr>
      </w:pPr>
      <w:bookmarkStart w:id="69" w:name="_Toc8611"/>
      <w:bookmarkStart w:id="70" w:name="_Toc5025"/>
      <w:bookmarkStart w:id="71" w:name="_Toc17150"/>
      <w:bookmarkStart w:id="72" w:name="_Toc13864"/>
      <w:bookmarkStart w:id="73" w:name="_Toc21781"/>
      <w:bookmarkStart w:id="74" w:name="_Toc24289"/>
      <w:r>
        <w:rPr>
          <w:rFonts w:hint="eastAsia" w:ascii="宋体" w:hAnsi="宋体" w:eastAsia="宋体" w:cs="宋体"/>
          <w:b/>
          <w:bCs/>
          <w:color w:val="auto"/>
          <w:sz w:val="24"/>
          <w:highlight w:val="none"/>
        </w:rPr>
        <w:t>三、投标人资格要求</w:t>
      </w:r>
      <w:bookmarkEnd w:id="64"/>
      <w:bookmarkEnd w:id="69"/>
      <w:bookmarkEnd w:id="70"/>
      <w:bookmarkEnd w:id="71"/>
      <w:bookmarkEnd w:id="72"/>
      <w:bookmarkEnd w:id="73"/>
      <w:bookmarkEnd w:id="74"/>
    </w:p>
    <w:p w14:paraId="26BF43D8">
      <w:pPr>
        <w:spacing w:line="360" w:lineRule="auto"/>
        <w:ind w:firstLine="480" w:firstLineChars="200"/>
        <w:rPr>
          <w:rFonts w:hint="default" w:ascii="宋体" w:hAnsi="宋体" w:eastAsia="宋体" w:cs="宋体"/>
          <w:b/>
          <w:bCs/>
          <w:color w:val="auto"/>
          <w:highlight w:val="none"/>
          <w:lang w:val="en-US"/>
        </w:rPr>
      </w:pPr>
      <w:bookmarkStart w:id="75" w:name="_Toc524622259"/>
      <w:bookmarkStart w:id="76" w:name="_Toc8387"/>
      <w:bookmarkStart w:id="77" w:name="_Toc9459"/>
      <w:bookmarkStart w:id="78" w:name="_Toc25845"/>
      <w:bookmarkStart w:id="79" w:name="_Toc10588"/>
      <w:bookmarkStart w:id="80" w:name="_Toc17533"/>
      <w:bookmarkStart w:id="81" w:name="_Toc9244"/>
      <w:bookmarkStart w:id="82" w:name="_Toc6002"/>
      <w:bookmarkStart w:id="83" w:name="_Toc7827"/>
      <w:bookmarkStart w:id="84" w:name="_Toc27016"/>
      <w:bookmarkStart w:id="85" w:name="_Toc12279"/>
      <w:r>
        <w:rPr>
          <w:rFonts w:hint="eastAsia" w:ascii="宋体" w:hAnsi="宋体" w:cs="宋体"/>
          <w:b w:val="0"/>
          <w:bCs w:val="0"/>
          <w:color w:val="auto"/>
          <w:sz w:val="24"/>
          <w:szCs w:val="28"/>
          <w:highlight w:val="none"/>
          <w:lang w:val="en-US" w:eastAsia="zh-CN"/>
        </w:rPr>
        <w:t>1</w:t>
      </w:r>
      <w:bookmarkEnd w:id="75"/>
      <w:bookmarkStart w:id="86" w:name="_Toc2286"/>
      <w:bookmarkStart w:id="87" w:name="_Toc11402"/>
      <w:bookmarkStart w:id="88" w:name="_Toc32065"/>
      <w:bookmarkStart w:id="89" w:name="_Toc14270"/>
      <w:bookmarkStart w:id="90" w:name="_Toc21611"/>
      <w:r>
        <w:rPr>
          <w:rFonts w:hint="eastAsia" w:ascii="宋体" w:hAnsi="宋体" w:cs="宋体"/>
          <w:b w:val="0"/>
          <w:bCs w:val="0"/>
          <w:color w:val="auto"/>
          <w:sz w:val="24"/>
          <w:szCs w:val="28"/>
          <w:highlight w:val="none"/>
          <w:lang w:val="en-US" w:eastAsia="zh-CN"/>
        </w:rPr>
        <w:t>.投标人须具有有效的营业执照</w:t>
      </w:r>
      <w:bookmarkEnd w:id="76"/>
      <w:bookmarkEnd w:id="77"/>
      <w:bookmarkEnd w:id="86"/>
      <w:bookmarkEnd w:id="87"/>
      <w:bookmarkEnd w:id="88"/>
      <w:bookmarkEnd w:id="89"/>
      <w:bookmarkEnd w:id="90"/>
      <w:r>
        <w:rPr>
          <w:rFonts w:hint="eastAsia" w:ascii="宋体" w:hAnsi="宋体" w:cs="宋体"/>
          <w:b/>
          <w:bCs/>
          <w:color w:val="auto"/>
          <w:sz w:val="24"/>
          <w:szCs w:val="28"/>
          <w:highlight w:val="none"/>
          <w:lang w:val="en-US" w:eastAsia="zh-CN"/>
        </w:rPr>
        <w:t>（</w:t>
      </w:r>
      <w:r>
        <w:rPr>
          <w:rFonts w:ascii="宋体" w:hAnsi="宋体" w:cs="宋体"/>
          <w:b/>
          <w:bCs/>
          <w:color w:val="auto"/>
          <w:sz w:val="24"/>
          <w:highlight w:val="none"/>
        </w:rPr>
        <w:t>本项目允许</w:t>
      </w:r>
      <w:r>
        <w:rPr>
          <w:rFonts w:hint="eastAsia" w:ascii="宋体" w:hAnsi="宋体" w:cs="宋体"/>
          <w:b/>
          <w:bCs/>
          <w:color w:val="auto"/>
          <w:sz w:val="24"/>
          <w:highlight w:val="none"/>
          <w:lang w:val="en-US" w:eastAsia="zh-CN"/>
        </w:rPr>
        <w:t>分公司</w:t>
      </w:r>
      <w:r>
        <w:rPr>
          <w:rFonts w:ascii="宋体" w:hAnsi="宋体" w:cs="宋体"/>
          <w:b/>
          <w:bCs/>
          <w:color w:val="auto"/>
          <w:sz w:val="24"/>
          <w:highlight w:val="none"/>
        </w:rPr>
        <w:t>参与投标</w:t>
      </w:r>
      <w:r>
        <w:rPr>
          <w:rFonts w:hint="eastAsia" w:ascii="宋体" w:hAnsi="宋体" w:cs="宋体"/>
          <w:b/>
          <w:bCs/>
          <w:color w:val="auto"/>
          <w:sz w:val="24"/>
          <w:highlight w:val="none"/>
        </w:rPr>
        <w:t>,</w:t>
      </w:r>
      <w:r>
        <w:rPr>
          <w:rFonts w:ascii="宋体" w:hAnsi="宋体" w:cs="宋体"/>
          <w:b/>
          <w:bCs/>
          <w:color w:val="auto"/>
          <w:sz w:val="24"/>
          <w:highlight w:val="none"/>
        </w:rPr>
        <w:t>可使用其总公司的人员、资质、业绩等</w:t>
      </w:r>
      <w:r>
        <w:rPr>
          <w:rFonts w:hint="eastAsia" w:ascii="宋体" w:hAnsi="宋体" w:cs="宋体"/>
          <w:b/>
          <w:bCs/>
          <w:color w:val="auto"/>
          <w:sz w:val="24"/>
          <w:highlight w:val="none"/>
          <w:lang w:val="en-US" w:eastAsia="zh-CN"/>
        </w:rPr>
        <w:t>材料</w:t>
      </w:r>
      <w:r>
        <w:rPr>
          <w:rFonts w:ascii="宋体" w:hAnsi="宋体" w:cs="宋体"/>
          <w:b/>
          <w:bCs/>
          <w:color w:val="auto"/>
          <w:sz w:val="24"/>
          <w:highlight w:val="none"/>
        </w:rPr>
        <w:t>，</w:t>
      </w:r>
      <w:r>
        <w:rPr>
          <w:rFonts w:hint="eastAsia" w:ascii="宋体" w:hAnsi="宋体"/>
          <w:b/>
          <w:bCs/>
          <w:iCs/>
          <w:color w:val="auto"/>
          <w:sz w:val="24"/>
          <w:highlight w:val="none"/>
        </w:rPr>
        <w:t>须提供其具有独立法人资格的上级总(母)公司对其出具的有效授权</w:t>
      </w:r>
      <w:r>
        <w:rPr>
          <w:rFonts w:hint="eastAsia" w:ascii="宋体" w:hAnsi="宋体"/>
          <w:b/>
          <w:bCs/>
          <w:iCs/>
          <w:color w:val="auto"/>
          <w:sz w:val="24"/>
          <w:highlight w:val="none"/>
          <w:lang w:val="en-US" w:eastAsia="zh-CN"/>
        </w:rPr>
        <w:t>书</w:t>
      </w:r>
      <w:r>
        <w:rPr>
          <w:rFonts w:hint="eastAsia" w:ascii="宋体" w:hAnsi="宋体"/>
          <w:b/>
          <w:bCs/>
          <w:iCs/>
          <w:color w:val="auto"/>
          <w:sz w:val="24"/>
          <w:highlight w:val="none"/>
        </w:rPr>
        <w:t>。同一公司的不同分(子)公司,不得同时参加本项目投标</w:t>
      </w:r>
      <w:r>
        <w:rPr>
          <w:rFonts w:hint="eastAsia" w:ascii="宋体" w:hAnsi="宋体" w:cs="宋体"/>
          <w:b/>
          <w:bCs/>
          <w:color w:val="auto"/>
          <w:sz w:val="24"/>
          <w:szCs w:val="28"/>
          <w:highlight w:val="none"/>
          <w:lang w:val="en-US" w:eastAsia="zh-CN"/>
        </w:rPr>
        <w:t>）；</w:t>
      </w:r>
    </w:p>
    <w:p w14:paraId="32EB191F">
      <w:pPr>
        <w:spacing w:line="49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2.投标人须自行出具本单位无商业贿赂及无不正当竞争行为的承诺书</w:t>
      </w:r>
      <w:r>
        <w:rPr>
          <w:rFonts w:hint="eastAsia" w:ascii="宋体" w:hAnsi="宋体" w:cs="宋体"/>
          <w:b w:val="0"/>
          <w:bCs w:val="0"/>
          <w:color w:val="auto"/>
          <w:sz w:val="24"/>
          <w:highlight w:val="none"/>
          <w:lang w:val="en-US" w:eastAsia="zh-CN"/>
        </w:rPr>
        <w:t>和参加政府采购活动前三年内在经营活动中没有重大违法记录承诺书</w:t>
      </w:r>
      <w:r>
        <w:rPr>
          <w:rFonts w:hint="eastAsia" w:ascii="宋体" w:hAnsi="宋体" w:eastAsia="宋体" w:cs="宋体"/>
          <w:b w:val="0"/>
          <w:bCs w:val="0"/>
          <w:color w:val="auto"/>
          <w:sz w:val="24"/>
          <w:highlight w:val="none"/>
          <w:lang w:val="en-US" w:eastAsia="zh-CN"/>
        </w:rPr>
        <w:t>；</w:t>
      </w:r>
    </w:p>
    <w:p w14:paraId="5A478128">
      <w:pPr>
        <w:keepNext w:val="0"/>
        <w:keepLines w:val="0"/>
        <w:pageBreakBefore w:val="0"/>
        <w:widowControl w:val="0"/>
        <w:kinsoku/>
        <w:wordWrap w:val="0"/>
        <w:overflowPunct/>
        <w:topLinePunct w:val="0"/>
        <w:autoSpaceDE/>
        <w:autoSpaceDN/>
        <w:bidi w:val="0"/>
        <w:adjustRightInd/>
        <w:snapToGrid/>
        <w:spacing w:line="490" w:lineRule="exact"/>
        <w:ind w:firstLine="480"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lang w:val="en-US" w:eastAsia="zh-CN"/>
        </w:rPr>
        <w:t>3.根据</w:t>
      </w:r>
      <w:r>
        <w:rPr>
          <w:rFonts w:hint="eastAsia" w:ascii="宋体" w:hAnsi="宋体" w:eastAsia="宋体" w:cs="宋体"/>
          <w:b w:val="0"/>
          <w:bCs w:val="0"/>
          <w:color w:val="auto"/>
          <w:sz w:val="24"/>
          <w:highlight w:val="none"/>
          <w:lang w:val="en-US" w:eastAsia="zh-CN" w:bidi="ar"/>
        </w:rPr>
        <w:t>《</w:t>
      </w:r>
      <w:r>
        <w:rPr>
          <w:rFonts w:hint="eastAsia" w:ascii="宋体" w:hAnsi="宋体" w:eastAsia="宋体" w:cs="宋体"/>
          <w:color w:val="auto"/>
          <w:sz w:val="24"/>
          <w:highlight w:val="none"/>
          <w:lang w:val="en-US" w:eastAsia="zh-CN" w:bidi="ar"/>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color w:val="auto"/>
          <w:sz w:val="24"/>
          <w:highlight w:val="none"/>
          <w:lang w:val="en-US" w:eastAsia="zh-CN" w:bidi="ar"/>
        </w:rPr>
        <w:t>投标人</w:t>
      </w:r>
      <w:r>
        <w:rPr>
          <w:rFonts w:hint="eastAsia" w:ascii="宋体" w:hAnsi="宋体" w:eastAsia="宋体" w:cs="宋体"/>
          <w:color w:val="auto"/>
          <w:sz w:val="24"/>
          <w:highlight w:val="none"/>
          <w:lang w:val="en-US" w:eastAsia="zh-CN" w:bidi="ar"/>
        </w:rPr>
        <w:t>，拒绝参与本项目采购活动；</w:t>
      </w:r>
      <w:r>
        <w:rPr>
          <w:rFonts w:hint="eastAsia" w:ascii="宋体" w:hAnsi="宋体" w:cs="宋体"/>
          <w:color w:val="auto"/>
          <w:sz w:val="24"/>
          <w:highlight w:val="none"/>
          <w:lang w:val="en-US" w:eastAsia="zh-CN"/>
        </w:rPr>
        <w:t>查询渠道</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①</w:t>
      </w:r>
      <w:r>
        <w:rPr>
          <w:rFonts w:hint="eastAsia" w:ascii="宋体" w:hAnsi="宋体" w:cs="宋体"/>
          <w:color w:val="auto"/>
          <w:sz w:val="24"/>
          <w:highlight w:val="none"/>
          <w:lang w:val="en-US" w:eastAsia="zh-CN"/>
        </w:rPr>
        <w:t>中国执行信息公开网（</w:t>
      </w:r>
      <w:r>
        <w:rPr>
          <w:rFonts w:hint="eastAsia" w:asciiTheme="minorEastAsia" w:hAnsiTheme="minorEastAsia" w:eastAsiaTheme="minorEastAsia" w:cstheme="minorEastAsia"/>
          <w:color w:val="auto"/>
          <w:sz w:val="24"/>
          <w:szCs w:val="24"/>
          <w:highlight w:val="none"/>
          <w:lang w:val="en-US" w:eastAsia="zh-CN"/>
        </w:rPr>
        <w:t>https://zxgk.court.gov.cn/shixin</w:t>
      </w:r>
      <w:r>
        <w:rPr>
          <w:rFonts w:hint="eastAsia" w:ascii="宋体" w:hAnsi="宋体" w:cs="宋体"/>
          <w:color w:val="auto"/>
          <w:sz w:val="24"/>
          <w:highlight w:val="none"/>
          <w:lang w:val="en-US" w:eastAsia="zh-CN"/>
        </w:rPr>
        <w:t>）查询内容：失信被执行人</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②</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信用中国”网站（</w:t>
      </w:r>
      <w:r>
        <w:rPr>
          <w:rFonts w:hint="eastAsia" w:asciiTheme="minorEastAsia" w:hAnsiTheme="minorEastAsia" w:eastAsiaTheme="minorEastAsia" w:cstheme="minorEastAsia"/>
          <w:color w:val="auto"/>
          <w:sz w:val="24"/>
          <w:szCs w:val="24"/>
          <w:highlight w:val="none"/>
          <w:lang w:val="en-US" w:eastAsia="zh-CN"/>
        </w:rPr>
        <w:t>https://www.creditchina.gov.cn/zhuanxiangchaxun/</w:t>
      </w:r>
      <w:r>
        <w:rPr>
          <w:rFonts w:hint="eastAsia" w:ascii="宋体" w:hAnsi="宋体" w:cs="宋体"/>
          <w:color w:val="auto"/>
          <w:sz w:val="24"/>
          <w:highlight w:val="none"/>
          <w:lang w:val="en-US" w:eastAsia="zh-CN"/>
        </w:rPr>
        <w:t>），查询内容：重大税收违法失信主体；</w:t>
      </w:r>
      <w:r>
        <w:rPr>
          <w:rFonts w:hint="default" w:ascii="宋体" w:hAnsi="宋体" w:eastAsia="宋体" w:cs="宋体"/>
          <w:color w:val="auto"/>
          <w:sz w:val="24"/>
          <w:highlight w:val="none"/>
          <w:lang w:val="en-US" w:eastAsia="zh-CN"/>
        </w:rPr>
        <w:t>③</w:t>
      </w:r>
      <w:r>
        <w:rPr>
          <w:rFonts w:hint="eastAsia" w:ascii="宋体" w:hAnsi="宋体" w:eastAsia="宋体" w:cs="宋体"/>
          <w:color w:val="auto"/>
          <w:sz w:val="24"/>
          <w:highlight w:val="none"/>
          <w:lang w:val="en-US" w:eastAsia="zh-CN"/>
        </w:rPr>
        <w:t>中</w:t>
      </w:r>
      <w:r>
        <w:rPr>
          <w:rFonts w:hint="eastAsia" w:ascii="宋体" w:hAnsi="宋体" w:cs="宋体"/>
          <w:color w:val="auto"/>
          <w:sz w:val="24"/>
          <w:highlight w:val="none"/>
          <w:lang w:val="en-US" w:eastAsia="zh-CN"/>
        </w:rPr>
        <w:t>国政府采购网（</w:t>
      </w:r>
      <w:r>
        <w:rPr>
          <w:rFonts w:hint="eastAsia" w:asciiTheme="minorEastAsia" w:hAnsiTheme="minorEastAsia" w:eastAsiaTheme="minorEastAsia" w:cstheme="minorEastAsia"/>
          <w:color w:val="auto"/>
          <w:sz w:val="24"/>
          <w:szCs w:val="24"/>
          <w:highlight w:val="none"/>
          <w:lang w:val="en-US" w:eastAsia="zh-CN"/>
        </w:rPr>
        <w:t>www.ccgp.gov.cn</w:t>
      </w:r>
      <w:r>
        <w:rPr>
          <w:rFonts w:hint="eastAsia" w:ascii="宋体" w:hAnsi="宋体" w:cs="宋体"/>
          <w:color w:val="auto"/>
          <w:sz w:val="24"/>
          <w:highlight w:val="none"/>
          <w:lang w:val="en-US" w:eastAsia="zh-CN"/>
        </w:rPr>
        <w:t>）查询内容：政府采购严重违法失信行为记录名单。投标人须提供中国执行信息公开网查询页、信用中国查询页、中国政府采购网查询页的</w:t>
      </w:r>
      <w:r>
        <w:rPr>
          <w:rFonts w:hint="eastAsia" w:ascii="宋体" w:hAnsi="宋体" w:cs="宋体"/>
          <w:b/>
          <w:bCs/>
          <w:color w:val="auto"/>
          <w:sz w:val="24"/>
          <w:highlight w:val="none"/>
          <w:lang w:val="en-US" w:eastAsia="zh-CN"/>
        </w:rPr>
        <w:t>查询结果截图</w:t>
      </w:r>
      <w:r>
        <w:rPr>
          <w:rFonts w:hint="eastAsia" w:ascii="宋体" w:hAnsi="宋体"/>
          <w:color w:val="auto"/>
          <w:sz w:val="24"/>
          <w:szCs w:val="24"/>
          <w:highlight w:val="none"/>
          <w:u w:color="000000"/>
        </w:rPr>
        <w:t>，</w:t>
      </w:r>
      <w:r>
        <w:rPr>
          <w:rFonts w:hint="eastAsia" w:ascii="宋体" w:hAnsi="宋体"/>
          <w:b/>
          <w:bCs/>
          <w:color w:val="auto"/>
          <w:sz w:val="24"/>
          <w:szCs w:val="24"/>
          <w:highlight w:val="none"/>
          <w:u w:color="000000"/>
        </w:rPr>
        <w:t>查询日期为本公告发布之日起，网站截图应含有日期</w:t>
      </w:r>
      <w:r>
        <w:rPr>
          <w:rFonts w:hint="eastAsia" w:ascii="宋体" w:hAnsi="宋体" w:eastAsia="宋体" w:cs="宋体"/>
          <w:b/>
          <w:bCs/>
          <w:color w:val="auto"/>
          <w:sz w:val="24"/>
          <w:szCs w:val="24"/>
          <w:highlight w:val="none"/>
          <w:lang w:val="en-US" w:eastAsia="zh-CN"/>
        </w:rPr>
        <w:t>且显示查询结果</w:t>
      </w:r>
      <w:r>
        <w:rPr>
          <w:rFonts w:hint="eastAsia" w:ascii="宋体" w:hAnsi="宋体" w:eastAsia="宋体" w:cs="宋体"/>
          <w:b/>
          <w:bCs/>
          <w:color w:val="auto"/>
          <w:sz w:val="24"/>
          <w:highlight w:val="none"/>
          <w:lang w:val="en-US" w:eastAsia="zh-CN"/>
        </w:rPr>
        <w:t>；</w:t>
      </w:r>
    </w:p>
    <w:p w14:paraId="4F15B8AD">
      <w:pPr>
        <w:spacing w:line="49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4.本次采购不接受联合体</w:t>
      </w:r>
      <w:r>
        <w:rPr>
          <w:rFonts w:hint="eastAsia" w:ascii="宋体" w:hAnsi="宋体" w:cs="宋体"/>
          <w:b w:val="0"/>
          <w:bCs w:val="0"/>
          <w:color w:val="auto"/>
          <w:sz w:val="24"/>
          <w:highlight w:val="none"/>
          <w:lang w:val="en-US" w:eastAsia="zh-CN"/>
        </w:rPr>
        <w:t>投标</w:t>
      </w:r>
      <w:r>
        <w:rPr>
          <w:rFonts w:hint="eastAsia" w:ascii="宋体" w:hAnsi="宋体" w:eastAsia="宋体" w:cs="宋体"/>
          <w:b w:val="0"/>
          <w:bCs w:val="0"/>
          <w:color w:val="auto"/>
          <w:sz w:val="24"/>
          <w:highlight w:val="none"/>
          <w:lang w:val="en-US" w:eastAsia="zh-CN"/>
        </w:rPr>
        <w:t>，</w:t>
      </w:r>
      <w:r>
        <w:rPr>
          <w:rFonts w:hint="eastAsia" w:ascii="宋体" w:hAnsi="宋体" w:cs="宋体"/>
          <w:b w:val="0"/>
          <w:bCs w:val="0"/>
          <w:color w:val="auto"/>
          <w:sz w:val="24"/>
          <w:highlight w:val="none"/>
          <w:lang w:val="en-US" w:eastAsia="zh-CN"/>
        </w:rPr>
        <w:t>投标人</w:t>
      </w:r>
      <w:r>
        <w:rPr>
          <w:rFonts w:hint="eastAsia" w:ascii="宋体" w:hAnsi="宋体" w:eastAsia="宋体" w:cs="宋体"/>
          <w:b w:val="0"/>
          <w:bCs w:val="0"/>
          <w:color w:val="auto"/>
          <w:sz w:val="24"/>
          <w:highlight w:val="none"/>
          <w:lang w:val="en-US" w:eastAsia="zh-CN"/>
        </w:rPr>
        <w:t>需提供非联合体承诺书（承诺书格式自拟）；</w:t>
      </w:r>
    </w:p>
    <w:p w14:paraId="689C17A4">
      <w:pPr>
        <w:spacing w:line="49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5.本项目实行资格后审，资格审查的具体要求见</w:t>
      </w:r>
      <w:r>
        <w:rPr>
          <w:rFonts w:hint="eastAsia" w:ascii="宋体" w:hAnsi="宋体" w:cs="宋体"/>
          <w:b w:val="0"/>
          <w:bCs w:val="0"/>
          <w:color w:val="auto"/>
          <w:sz w:val="24"/>
          <w:highlight w:val="none"/>
          <w:lang w:val="en-US" w:eastAsia="zh-CN"/>
        </w:rPr>
        <w:t>招标</w:t>
      </w:r>
      <w:r>
        <w:rPr>
          <w:rFonts w:hint="eastAsia" w:ascii="宋体" w:hAnsi="宋体" w:eastAsia="宋体" w:cs="宋体"/>
          <w:b w:val="0"/>
          <w:bCs w:val="0"/>
          <w:color w:val="auto"/>
          <w:sz w:val="24"/>
          <w:highlight w:val="none"/>
          <w:lang w:val="en-US" w:eastAsia="zh-CN"/>
        </w:rPr>
        <w:t>文件。</w:t>
      </w:r>
    </w:p>
    <w:p w14:paraId="1B09C30D">
      <w:pPr>
        <w:spacing w:line="490" w:lineRule="exact"/>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四、投标报名及招标文件的获取方式</w:t>
      </w:r>
      <w:bookmarkEnd w:id="78"/>
      <w:bookmarkEnd w:id="79"/>
      <w:bookmarkEnd w:id="80"/>
      <w:bookmarkEnd w:id="81"/>
      <w:bookmarkEnd w:id="82"/>
      <w:bookmarkEnd w:id="83"/>
      <w:bookmarkEnd w:id="84"/>
      <w:bookmarkEnd w:id="85"/>
    </w:p>
    <w:p w14:paraId="3FB9257E">
      <w:pPr>
        <w:snapToGrid w:val="0"/>
        <w:spacing w:line="480" w:lineRule="exact"/>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w:t>
      </w:r>
      <w:r>
        <w:rPr>
          <w:rFonts w:hint="eastAsia" w:ascii="宋体" w:hAnsi="宋体" w:eastAsia="宋体" w:cs="宋体"/>
          <w:color w:val="auto"/>
          <w:sz w:val="24"/>
          <w:highlight w:val="none"/>
          <w:lang w:val="en-US" w:eastAsia="zh-CN" w:bidi="ar"/>
        </w:rPr>
        <w:t>.</w:t>
      </w:r>
      <w:r>
        <w:rPr>
          <w:rFonts w:hint="eastAsia" w:ascii="宋体" w:hAnsi="宋体" w:eastAsia="宋体" w:cs="宋体"/>
          <w:color w:val="auto"/>
          <w:sz w:val="24"/>
          <w:highlight w:val="none"/>
          <w:lang w:bidi="ar"/>
        </w:rPr>
        <w:t>招标文件获取方式：本项目没有报名环节，投标人凭CA数字证书通过三门峡市公共资源交易中心网（网址：gzjy.smx.gov.cn），点击交易平台选择“市场主体登录”，在所参与项目右侧点击参与投标，即可直接下载本项目招标文件（招标文件中包含清单等投标所需一切内容）。</w:t>
      </w:r>
    </w:p>
    <w:p w14:paraId="2F1CC9DF">
      <w:pPr>
        <w:snapToGrid w:val="0"/>
        <w:spacing w:line="480" w:lineRule="exact"/>
        <w:ind w:firstLine="424" w:firstLineChars="177"/>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具体操作请查看以下链接：</w:t>
      </w:r>
    </w:p>
    <w:p w14:paraId="3EF59B2F">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rPr>
        <w:t>三门峡市公共资源交易平台操作手册：</w:t>
      </w:r>
      <w:r>
        <w:rPr>
          <w:rFonts w:hint="eastAsia" w:ascii="宋体" w:hAnsi="宋体" w:eastAsia="宋体" w:cs="宋体"/>
          <w:color w:val="auto"/>
          <w:sz w:val="24"/>
          <w:highlight w:val="none"/>
          <w:lang w:val="en-US" w:eastAsia="zh-CN" w:bidi="ar"/>
        </w:rPr>
        <w:t>http://gzjy.smx.gov.cn/fwzn/004003/20200325/2b5a3a5a-f987-405c-993f-88f43e1d1ac3.html</w:t>
      </w:r>
    </w:p>
    <w:p w14:paraId="5ECE1663">
      <w:pPr>
        <w:keepNext w:val="0"/>
        <w:keepLines w:val="0"/>
        <w:pageBreakBefore w:val="0"/>
        <w:widowControl w:val="0"/>
        <w:kinsoku/>
        <w:wordWrap/>
        <w:overflowPunct/>
        <w:topLinePunct w:val="0"/>
        <w:autoSpaceDE/>
        <w:autoSpaceDN/>
        <w:bidi w:val="0"/>
        <w:adjustRightInd/>
        <w:snapToGrid/>
        <w:spacing w:line="360" w:lineRule="auto"/>
        <w:ind w:left="479" w:leftChars="228" w:firstLine="84" w:firstLineChars="35"/>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办理CA证书：</w:t>
      </w:r>
    </w:p>
    <w:p w14:paraId="2FF1E40F">
      <w:pPr>
        <w:snapToGrid w:val="0"/>
        <w:spacing w:line="480" w:lineRule="exact"/>
        <w:ind w:firstLine="424" w:firstLineChars="177"/>
        <w:rPr>
          <w:rFonts w:hint="eastAsia"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fldChar w:fldCharType="begin"/>
      </w:r>
      <w:r>
        <w:rPr>
          <w:rFonts w:hint="eastAsia" w:ascii="宋体" w:hAnsi="宋体" w:cs="宋体"/>
          <w:color w:val="auto"/>
          <w:sz w:val="24"/>
          <w:highlight w:val="none"/>
          <w:lang w:val="en-US" w:eastAsia="zh-CN" w:bidi="ar"/>
        </w:rPr>
        <w:instrText xml:space="preserve"> HYPERLINK "http://gzjy.smx.gov.cn/bzzx/008001/20231102/4defc9b5-408e-47f2-9e9f-1f376a06ee1f.html" </w:instrText>
      </w:r>
      <w:r>
        <w:rPr>
          <w:rFonts w:hint="eastAsia" w:ascii="宋体" w:hAnsi="宋体" w:cs="宋体"/>
          <w:color w:val="auto"/>
          <w:sz w:val="24"/>
          <w:highlight w:val="none"/>
          <w:lang w:val="en-US" w:eastAsia="zh-CN" w:bidi="ar"/>
        </w:rPr>
        <w:fldChar w:fldCharType="separate"/>
      </w:r>
      <w:r>
        <w:rPr>
          <w:rFonts w:hint="eastAsia" w:ascii="宋体" w:hAnsi="宋体" w:cs="宋体"/>
          <w:color w:val="auto"/>
          <w:sz w:val="24"/>
          <w:highlight w:val="none"/>
          <w:lang w:val="en-US" w:eastAsia="zh-CN" w:bidi="ar"/>
        </w:rPr>
        <w:t>http://gzjy.smx.gov.cn/bzzx/008001/20231102/4defc9b5-408e-47f2-9e9f-1f376a06ee1f.html</w:t>
      </w:r>
      <w:r>
        <w:rPr>
          <w:rFonts w:hint="eastAsia" w:ascii="宋体" w:hAnsi="宋体" w:cs="宋体"/>
          <w:color w:val="auto"/>
          <w:sz w:val="24"/>
          <w:highlight w:val="none"/>
          <w:lang w:val="en-US" w:eastAsia="zh-CN" w:bidi="ar"/>
        </w:rPr>
        <w:fldChar w:fldCharType="end"/>
      </w:r>
    </w:p>
    <w:p w14:paraId="0DA8FDE6">
      <w:pPr>
        <w:snapToGrid w:val="0"/>
        <w:spacing w:line="480" w:lineRule="exact"/>
        <w:ind w:firstLine="424" w:firstLineChars="177"/>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w:t>
      </w:r>
      <w:r>
        <w:rPr>
          <w:rFonts w:hint="eastAsia" w:ascii="宋体" w:hAnsi="宋体" w:eastAsia="宋体" w:cs="宋体"/>
          <w:color w:val="auto"/>
          <w:sz w:val="24"/>
          <w:highlight w:val="none"/>
          <w:lang w:val="en-US" w:eastAsia="zh-CN" w:bidi="ar"/>
        </w:rPr>
        <w:t>.</w:t>
      </w:r>
      <w:r>
        <w:rPr>
          <w:rFonts w:hint="eastAsia" w:ascii="宋体" w:hAnsi="宋体" w:eastAsia="宋体" w:cs="宋体"/>
          <w:color w:val="auto"/>
          <w:sz w:val="24"/>
          <w:highlight w:val="none"/>
          <w:lang w:bidi="ar"/>
        </w:rPr>
        <w:t>招标文件下载时间：20</w:t>
      </w:r>
      <w:r>
        <w:rPr>
          <w:rFonts w:hint="eastAsia" w:ascii="宋体" w:hAnsi="宋体" w:eastAsia="宋体" w:cs="宋体"/>
          <w:color w:val="auto"/>
          <w:sz w:val="24"/>
          <w:highlight w:val="none"/>
          <w:lang w:val="en-US" w:eastAsia="zh-CN" w:bidi="ar"/>
        </w:rPr>
        <w:t>2</w:t>
      </w:r>
      <w:r>
        <w:rPr>
          <w:rFonts w:hint="eastAsia" w:ascii="宋体" w:hAnsi="宋体" w:cs="宋体"/>
          <w:color w:val="auto"/>
          <w:sz w:val="24"/>
          <w:highlight w:val="none"/>
          <w:lang w:val="en-US" w:eastAsia="zh-CN" w:bidi="ar"/>
        </w:rPr>
        <w:t>5</w:t>
      </w:r>
      <w:r>
        <w:rPr>
          <w:rFonts w:hint="eastAsia" w:ascii="宋体" w:hAnsi="宋体" w:eastAsia="宋体" w:cs="宋体"/>
          <w:color w:val="auto"/>
          <w:sz w:val="24"/>
          <w:highlight w:val="none"/>
          <w:lang w:bidi="ar"/>
        </w:rPr>
        <w:t>年</w:t>
      </w:r>
      <w:r>
        <w:rPr>
          <w:rFonts w:hint="eastAsia" w:ascii="宋体" w:hAnsi="宋体" w:cs="宋体"/>
          <w:color w:val="auto"/>
          <w:sz w:val="24"/>
          <w:highlight w:val="none"/>
          <w:lang w:val="en-US" w:eastAsia="zh-CN" w:bidi="ar"/>
        </w:rPr>
        <w:t>12</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bidi="ar"/>
        </w:rPr>
        <w:t>03</w:t>
      </w:r>
      <w:r>
        <w:rPr>
          <w:rFonts w:hint="eastAsia" w:ascii="宋体" w:hAnsi="宋体" w:eastAsia="宋体" w:cs="宋体"/>
          <w:color w:val="auto"/>
          <w:sz w:val="24"/>
          <w:highlight w:val="none"/>
          <w:lang w:bidi="ar"/>
        </w:rPr>
        <w:t>日至20</w:t>
      </w:r>
      <w:r>
        <w:rPr>
          <w:rFonts w:hint="eastAsia" w:ascii="宋体" w:hAnsi="宋体" w:eastAsia="宋体" w:cs="宋体"/>
          <w:color w:val="auto"/>
          <w:sz w:val="24"/>
          <w:highlight w:val="none"/>
          <w:lang w:val="en-US" w:eastAsia="zh-CN" w:bidi="ar"/>
        </w:rPr>
        <w:t>2</w:t>
      </w:r>
      <w:r>
        <w:rPr>
          <w:rFonts w:hint="eastAsia" w:ascii="宋体" w:hAnsi="宋体" w:cs="宋体"/>
          <w:color w:val="auto"/>
          <w:sz w:val="24"/>
          <w:highlight w:val="none"/>
          <w:lang w:val="en-US" w:eastAsia="zh-CN" w:bidi="ar"/>
        </w:rPr>
        <w:t>5</w:t>
      </w:r>
      <w:r>
        <w:rPr>
          <w:rFonts w:hint="eastAsia" w:ascii="宋体" w:hAnsi="宋体" w:eastAsia="宋体" w:cs="宋体"/>
          <w:color w:val="auto"/>
          <w:sz w:val="24"/>
          <w:highlight w:val="none"/>
          <w:lang w:bidi="ar"/>
        </w:rPr>
        <w:t>年</w:t>
      </w:r>
      <w:r>
        <w:rPr>
          <w:rFonts w:hint="eastAsia" w:ascii="宋体" w:hAnsi="宋体" w:cs="宋体"/>
          <w:color w:val="auto"/>
          <w:sz w:val="24"/>
          <w:highlight w:val="none"/>
          <w:lang w:val="en-US" w:eastAsia="zh-CN" w:bidi="ar"/>
        </w:rPr>
        <w:t>12</w:t>
      </w:r>
      <w:r>
        <w:rPr>
          <w:rFonts w:hint="eastAsia" w:ascii="宋体" w:hAnsi="宋体" w:eastAsia="宋体" w:cs="宋体"/>
          <w:color w:val="auto"/>
          <w:sz w:val="24"/>
          <w:highlight w:val="none"/>
          <w:lang w:bidi="ar"/>
        </w:rPr>
        <w:t>月</w:t>
      </w:r>
      <w:r>
        <w:rPr>
          <w:rFonts w:hint="eastAsia" w:ascii="宋体" w:hAnsi="宋体" w:cs="宋体"/>
          <w:color w:val="auto"/>
          <w:sz w:val="24"/>
          <w:highlight w:val="none"/>
          <w:lang w:val="en-US" w:eastAsia="zh-CN" w:bidi="ar"/>
        </w:rPr>
        <w:t>23</w:t>
      </w:r>
      <w:r>
        <w:rPr>
          <w:rFonts w:hint="eastAsia" w:ascii="宋体" w:hAnsi="宋体" w:eastAsia="宋体" w:cs="宋体"/>
          <w:color w:val="auto"/>
          <w:sz w:val="24"/>
          <w:highlight w:val="none"/>
          <w:lang w:bidi="ar"/>
        </w:rPr>
        <w:t>日</w:t>
      </w:r>
      <w:r>
        <w:rPr>
          <w:rFonts w:hint="eastAsia" w:ascii="宋体" w:hAnsi="宋体" w:cs="宋体"/>
          <w:color w:val="auto"/>
          <w:sz w:val="24"/>
          <w:highlight w:val="none"/>
          <w:lang w:val="en-US" w:eastAsia="zh-CN" w:bidi="ar"/>
        </w:rPr>
        <w:t>09</w:t>
      </w:r>
      <w:r>
        <w:rPr>
          <w:rFonts w:hint="eastAsia" w:ascii="宋体" w:hAnsi="宋体" w:eastAsia="宋体" w:cs="宋体"/>
          <w:color w:val="auto"/>
          <w:sz w:val="24"/>
          <w:highlight w:val="none"/>
          <w:lang w:bidi="ar"/>
        </w:rPr>
        <w:t>时</w:t>
      </w:r>
      <w:r>
        <w:rPr>
          <w:rFonts w:hint="eastAsia" w:ascii="宋体" w:hAnsi="宋体" w:cs="宋体"/>
          <w:color w:val="auto"/>
          <w:sz w:val="24"/>
          <w:highlight w:val="none"/>
          <w:lang w:val="en-US" w:eastAsia="zh-CN" w:bidi="ar"/>
        </w:rPr>
        <w:t>10</w:t>
      </w:r>
      <w:r>
        <w:rPr>
          <w:rFonts w:hint="eastAsia" w:ascii="宋体" w:hAnsi="宋体" w:eastAsia="宋体" w:cs="宋体"/>
          <w:color w:val="auto"/>
          <w:sz w:val="24"/>
          <w:highlight w:val="none"/>
          <w:lang w:bidi="ar"/>
        </w:rPr>
        <w:t>分。</w:t>
      </w:r>
    </w:p>
    <w:p w14:paraId="6A9EB343">
      <w:pPr>
        <w:snapToGrid w:val="0"/>
        <w:spacing w:line="480" w:lineRule="exact"/>
        <w:ind w:firstLine="424" w:firstLineChars="177"/>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w:t>
      </w:r>
      <w:r>
        <w:rPr>
          <w:rFonts w:hint="eastAsia" w:ascii="宋体" w:hAnsi="宋体" w:eastAsia="宋体" w:cs="宋体"/>
          <w:color w:val="auto"/>
          <w:sz w:val="24"/>
          <w:highlight w:val="none"/>
          <w:lang w:val="en-US" w:eastAsia="zh-CN" w:bidi="ar"/>
        </w:rPr>
        <w:t>.</w:t>
      </w:r>
      <w:r>
        <w:rPr>
          <w:rFonts w:hint="eastAsia" w:ascii="宋体" w:hAnsi="宋体" w:eastAsia="宋体" w:cs="宋体"/>
          <w:color w:val="auto"/>
          <w:sz w:val="24"/>
          <w:highlight w:val="none"/>
          <w:lang w:bidi="ar"/>
        </w:rPr>
        <w:t>本项目采用全电子化招标，不再收取招标文件费。</w:t>
      </w:r>
    </w:p>
    <w:p w14:paraId="29BA4A29">
      <w:pPr>
        <w:keepNext w:val="0"/>
        <w:keepLines w:val="0"/>
        <w:pageBreakBefore w:val="0"/>
        <w:widowControl w:val="0"/>
        <w:kinsoku/>
        <w:wordWrap w:val="0"/>
        <w:overflowPunct/>
        <w:topLinePunct w:val="0"/>
        <w:autoSpaceDE/>
        <w:autoSpaceDN/>
        <w:bidi w:val="0"/>
        <w:adjustRightInd/>
        <w:snapToGrid w:val="0"/>
        <w:spacing w:line="480" w:lineRule="exact"/>
        <w:ind w:firstLine="424" w:firstLineChars="177"/>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4</w:t>
      </w:r>
      <w:r>
        <w:rPr>
          <w:rFonts w:hint="eastAsia" w:ascii="宋体" w:hAnsi="宋体" w:eastAsia="宋体" w:cs="宋体"/>
          <w:color w:val="auto"/>
          <w:sz w:val="24"/>
          <w:highlight w:val="none"/>
          <w:lang w:val="en-US" w:eastAsia="zh-CN" w:bidi="ar"/>
        </w:rPr>
        <w:t>.</w:t>
      </w:r>
      <w:r>
        <w:rPr>
          <w:rFonts w:hint="eastAsia" w:ascii="宋体" w:hAnsi="宋体" w:eastAsia="宋体" w:cs="宋体"/>
          <w:color w:val="auto"/>
          <w:sz w:val="24"/>
          <w:highlight w:val="none"/>
        </w:rPr>
        <w:t>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每位投标人的解密时间为开标时间起30分钟内完成。未按时解密的其投标将被否决。因投标人原因未能解密、解密失败或解密超时的将被拒绝。</w:t>
      </w:r>
    </w:p>
    <w:p w14:paraId="4A7EDC53">
      <w:pPr>
        <w:pStyle w:val="155"/>
        <w:spacing w:before="0" w:beforeAutospacing="0" w:after="0" w:afterAutospacing="0" w:line="490" w:lineRule="exact"/>
        <w:outlineLvl w:val="1"/>
        <w:rPr>
          <w:rFonts w:hint="eastAsia" w:ascii="宋体" w:hAnsi="宋体" w:eastAsia="宋体" w:cs="宋体"/>
          <w:b/>
          <w:bCs/>
          <w:color w:val="auto"/>
          <w:highlight w:val="none"/>
        </w:rPr>
      </w:pPr>
      <w:bookmarkStart w:id="91" w:name="_Toc4657"/>
      <w:r>
        <w:rPr>
          <w:rFonts w:hint="eastAsia" w:cs="宋体"/>
          <w:b/>
          <w:bCs/>
          <w:color w:val="auto"/>
          <w:highlight w:val="none"/>
          <w:lang w:val="en-US" w:eastAsia="zh-CN"/>
        </w:rPr>
        <w:t>五</w:t>
      </w:r>
      <w:r>
        <w:rPr>
          <w:rFonts w:hint="eastAsia" w:ascii="宋体" w:hAnsi="宋体" w:eastAsia="宋体" w:cs="宋体"/>
          <w:b/>
          <w:bCs/>
          <w:color w:val="auto"/>
          <w:highlight w:val="none"/>
        </w:rPr>
        <w:t>、投标保证金</w:t>
      </w:r>
      <w:bookmarkEnd w:id="91"/>
    </w:p>
    <w:p w14:paraId="78F8CD7C">
      <w:pPr>
        <w:pStyle w:val="155"/>
        <w:spacing w:before="0" w:beforeAutospacing="0" w:after="0" w:afterAutospacing="0" w:line="490" w:lineRule="exact"/>
        <w:ind w:firstLine="480" w:firstLineChars="200"/>
        <w:outlineLvl w:val="1"/>
        <w:rPr>
          <w:rFonts w:hint="eastAsia" w:ascii="宋体" w:hAnsi="宋体" w:cs="Times New Roman"/>
          <w:color w:val="auto"/>
          <w:szCs w:val="20"/>
          <w:highlight w:val="none"/>
          <w:lang w:eastAsia="zh-CN"/>
        </w:rPr>
      </w:pPr>
      <w:bookmarkStart w:id="92" w:name="_Toc19140"/>
      <w:r>
        <w:rPr>
          <w:rFonts w:hint="eastAsia" w:ascii="宋体" w:hAnsi="宋体" w:cs="Times New Roman"/>
          <w:color w:val="auto"/>
          <w:szCs w:val="20"/>
          <w:highlight w:val="none"/>
          <w:lang w:eastAsia="zh-CN"/>
        </w:rPr>
        <w:t>按照《河南省财政厅关于优化政府采购营商环境有关问题的通知》（豫财购[2019]4号文）的要求本项目不再收取投标保证金。</w:t>
      </w:r>
    </w:p>
    <w:p w14:paraId="72AC3989">
      <w:pPr>
        <w:pStyle w:val="155"/>
        <w:spacing w:before="0" w:beforeAutospacing="0" w:after="0" w:afterAutospacing="0" w:line="490" w:lineRule="exact"/>
        <w:outlineLvl w:val="1"/>
        <w:rPr>
          <w:rFonts w:hint="eastAsia" w:ascii="宋体" w:hAnsi="宋体" w:eastAsia="宋体" w:cs="宋体"/>
          <w:b/>
          <w:bCs/>
          <w:color w:val="auto"/>
          <w:highlight w:val="none"/>
        </w:rPr>
      </w:pPr>
      <w:r>
        <w:rPr>
          <w:rFonts w:hint="eastAsia" w:cs="宋体"/>
          <w:b/>
          <w:bCs/>
          <w:color w:val="auto"/>
          <w:highlight w:val="none"/>
          <w:lang w:val="en-US" w:eastAsia="zh-CN"/>
        </w:rPr>
        <w:t>六</w:t>
      </w:r>
      <w:r>
        <w:rPr>
          <w:rFonts w:hint="eastAsia" w:ascii="宋体" w:hAnsi="宋体" w:eastAsia="宋体" w:cs="宋体"/>
          <w:b/>
          <w:bCs/>
          <w:color w:val="auto"/>
          <w:highlight w:val="none"/>
        </w:rPr>
        <w:t>、投标文件的递交</w:t>
      </w:r>
      <w:bookmarkEnd w:id="92"/>
    </w:p>
    <w:p w14:paraId="649E202C">
      <w:pPr>
        <w:pStyle w:val="155"/>
        <w:spacing w:before="0" w:beforeAutospacing="0" w:after="0" w:afterAutospacing="0" w:line="49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投标文件递交截止时间及开标时间：20</w:t>
      </w:r>
      <w:r>
        <w:rPr>
          <w:rFonts w:hint="eastAsia" w:ascii="宋体" w:hAnsi="宋体" w:eastAsia="宋体" w:cs="宋体"/>
          <w:color w:val="auto"/>
          <w:highlight w:val="none"/>
          <w:lang w:val="en-US" w:eastAsia="zh-CN"/>
        </w:rPr>
        <w:t>2</w:t>
      </w:r>
      <w:r>
        <w:rPr>
          <w:rFonts w:hint="eastAsia" w:cs="宋体"/>
          <w:color w:val="auto"/>
          <w:highlight w:val="none"/>
          <w:lang w:val="en-US" w:eastAsia="zh-CN"/>
        </w:rPr>
        <w:t>5</w:t>
      </w:r>
      <w:r>
        <w:rPr>
          <w:rFonts w:hint="eastAsia" w:ascii="宋体" w:hAnsi="宋体" w:eastAsia="宋体" w:cs="宋体"/>
          <w:color w:val="auto"/>
          <w:highlight w:val="none"/>
        </w:rPr>
        <w:t>年</w:t>
      </w:r>
      <w:r>
        <w:rPr>
          <w:rFonts w:hint="eastAsia" w:cs="宋体"/>
          <w:color w:val="auto"/>
          <w:highlight w:val="none"/>
          <w:lang w:val="en-US" w:eastAsia="zh-CN"/>
        </w:rPr>
        <w:t>12</w:t>
      </w:r>
      <w:r>
        <w:rPr>
          <w:rFonts w:hint="eastAsia" w:ascii="宋体" w:hAnsi="宋体" w:eastAsia="宋体" w:cs="宋体"/>
          <w:color w:val="auto"/>
          <w:highlight w:val="none"/>
        </w:rPr>
        <w:t>月</w:t>
      </w:r>
      <w:r>
        <w:rPr>
          <w:rFonts w:hint="eastAsia" w:cs="宋体"/>
          <w:color w:val="auto"/>
          <w:highlight w:val="none"/>
          <w:lang w:val="en-US" w:eastAsia="zh-CN"/>
        </w:rPr>
        <w:t>23</w:t>
      </w:r>
      <w:r>
        <w:rPr>
          <w:rFonts w:hint="eastAsia" w:ascii="宋体" w:hAnsi="宋体" w:eastAsia="宋体" w:cs="宋体"/>
          <w:color w:val="auto"/>
          <w:highlight w:val="none"/>
        </w:rPr>
        <w:t>日</w:t>
      </w:r>
      <w:r>
        <w:rPr>
          <w:rFonts w:hint="eastAsia" w:cs="宋体"/>
          <w:color w:val="auto"/>
          <w:highlight w:val="none"/>
          <w:lang w:val="en-US" w:eastAsia="zh-CN"/>
        </w:rPr>
        <w:t>09</w:t>
      </w:r>
      <w:r>
        <w:rPr>
          <w:rFonts w:hint="eastAsia" w:ascii="宋体" w:hAnsi="宋体" w:eastAsia="宋体" w:cs="宋体"/>
          <w:color w:val="auto"/>
          <w:highlight w:val="none"/>
        </w:rPr>
        <w:t>时</w:t>
      </w:r>
      <w:r>
        <w:rPr>
          <w:rFonts w:hint="eastAsia" w:cs="宋体"/>
          <w:color w:val="auto"/>
          <w:highlight w:val="none"/>
          <w:lang w:val="en-US" w:eastAsia="zh-CN"/>
        </w:rPr>
        <w:t>10</w:t>
      </w:r>
      <w:r>
        <w:rPr>
          <w:rFonts w:hint="eastAsia" w:ascii="宋体" w:hAnsi="宋体" w:eastAsia="宋体" w:cs="宋体"/>
          <w:color w:val="auto"/>
          <w:highlight w:val="none"/>
        </w:rPr>
        <w:t>分</w:t>
      </w:r>
    </w:p>
    <w:p w14:paraId="2789B4FC">
      <w:pPr>
        <w:pStyle w:val="155"/>
        <w:spacing w:before="0" w:beforeAutospacing="0" w:after="0" w:afterAutospacing="0" w:line="49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开标地点：三门峡市公共资源交易中心五楼开标区。</w:t>
      </w:r>
    </w:p>
    <w:p w14:paraId="4B7F9DA5">
      <w:pPr>
        <w:pStyle w:val="155"/>
        <w:spacing w:before="0" w:beforeAutospacing="0" w:after="0" w:afterAutospacing="0" w:line="490" w:lineRule="exact"/>
        <w:outlineLvl w:val="1"/>
        <w:rPr>
          <w:rFonts w:hint="eastAsia" w:ascii="宋体" w:hAnsi="宋体" w:eastAsia="宋体" w:cs="宋体"/>
          <w:b/>
          <w:bCs/>
          <w:color w:val="auto"/>
          <w:highlight w:val="none"/>
        </w:rPr>
      </w:pPr>
      <w:bookmarkStart w:id="93" w:name="_Toc13412"/>
      <w:r>
        <w:rPr>
          <w:rFonts w:hint="eastAsia" w:cs="宋体"/>
          <w:b/>
          <w:bCs/>
          <w:color w:val="auto"/>
          <w:highlight w:val="none"/>
          <w:lang w:val="en-US" w:eastAsia="zh-CN"/>
        </w:rPr>
        <w:t>七</w:t>
      </w:r>
      <w:r>
        <w:rPr>
          <w:rFonts w:hint="eastAsia" w:ascii="宋体" w:hAnsi="宋体" w:eastAsia="宋体" w:cs="宋体"/>
          <w:b/>
          <w:bCs/>
          <w:color w:val="auto"/>
          <w:highlight w:val="none"/>
        </w:rPr>
        <w:t>、其他事项</w:t>
      </w:r>
      <w:bookmarkEnd w:id="93"/>
    </w:p>
    <w:p w14:paraId="4CC4D32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1.本项目实行资格后审，根据优化营商环境的要求，评标时审查内容以投标（响应）文件为准：</w:t>
      </w:r>
    </w:p>
    <w:p w14:paraId="3D7559E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（1）资格评（预）审部分：资格评（预）</w:t>
      </w:r>
      <w:r>
        <w:rPr>
          <w:rFonts w:hint="eastAsia" w:ascii="宋体" w:hAnsi="宋体" w:cs="Times New Roman"/>
          <w:color w:val="auto"/>
          <w:sz w:val="24"/>
          <w:highlight w:val="none"/>
          <w:lang w:val="en-US" w:eastAsia="zh-CN"/>
        </w:rPr>
        <w:t>审</w:t>
      </w:r>
      <w:r>
        <w:rPr>
          <w:rFonts w:hint="eastAsia" w:ascii="宋体" w:hAnsi="宋体" w:eastAsia="宋体" w:cs="Times New Roman"/>
          <w:color w:val="auto"/>
          <w:sz w:val="24"/>
          <w:highlight w:val="none"/>
          <w:lang w:val="en-US" w:eastAsia="zh-CN"/>
        </w:rPr>
        <w:t>以投标（响应）文件为准，其上传资料真实性由投标人自行承担，同时，投标人要完善主体库</w:t>
      </w:r>
      <w:r>
        <w:rPr>
          <w:rFonts w:hint="eastAsia" w:ascii="宋体" w:hAnsi="宋体" w:cs="Times New Roman"/>
          <w:color w:val="auto"/>
          <w:sz w:val="24"/>
          <w:highlight w:val="none"/>
          <w:lang w:val="en-US" w:eastAsia="zh-CN"/>
        </w:rPr>
        <w:t>（主体库基本信息不作为资格审查项）</w:t>
      </w:r>
      <w:r>
        <w:rPr>
          <w:rFonts w:hint="eastAsia" w:ascii="宋体" w:hAnsi="宋体" w:eastAsia="宋体" w:cs="Times New Roman"/>
          <w:color w:val="auto"/>
          <w:sz w:val="24"/>
          <w:highlight w:val="none"/>
          <w:lang w:val="en-US" w:eastAsia="zh-CN"/>
        </w:rPr>
        <w:t>。</w:t>
      </w:r>
    </w:p>
    <w:p w14:paraId="6263852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（2）评标打分部分：评标打分部分仍按照100分制原则进行，涉及到资格审查、企业荣誉、人员业绩、企业业绩等计分部分时，以投标人自行上传到投标（响应）文件中的相应内容为准。</w:t>
      </w:r>
    </w:p>
    <w:p w14:paraId="529C7BE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 xml:space="preserve">（3）响应文件编制部分：在招标文件中要求投标人按照投标（响应）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5A403B9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2.投标人递交的资料和投标（响应）文件不论中标与否均不予退还；</w:t>
      </w:r>
    </w:p>
    <w:p w14:paraId="58AFC39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3.招标人不组织投标人踏勘现场；</w:t>
      </w:r>
      <w:r>
        <w:rPr>
          <w:rFonts w:hint="eastAsia" w:ascii="宋体" w:hAnsi="宋体" w:cs="Times New Roman"/>
          <w:color w:val="auto"/>
          <w:sz w:val="24"/>
          <w:highlight w:val="none"/>
          <w:lang w:val="en-US" w:eastAsia="zh-CN"/>
        </w:rPr>
        <w:t xml:space="preserve"> </w:t>
      </w:r>
    </w:p>
    <w:p w14:paraId="70FD30E8">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highlight w:val="none"/>
        </w:rPr>
      </w:pPr>
      <w:r>
        <w:rPr>
          <w:rFonts w:hint="eastAsia" w:ascii="宋体" w:hAnsi="宋体"/>
          <w:b/>
          <w:bCs/>
          <w:color w:val="auto"/>
          <w:sz w:val="24"/>
          <w:highlight w:val="none"/>
        </w:rPr>
        <w:t>温馨提示：本项目为电子化、无纸化交易项目，开标时不再接受任何纸质资料，为保证您能投标成功，请需仔细阅读招标文件和三门峡市公共资源交易中心官网业务办理指南</w:t>
      </w:r>
      <w:r>
        <w:rPr>
          <w:rFonts w:hint="eastAsia" w:ascii="宋体" w:hAnsi="宋体" w:cs="宋体"/>
          <w:b/>
          <w:bCs/>
          <w:color w:val="auto"/>
          <w:kern w:val="0"/>
          <w:sz w:val="24"/>
          <w:szCs w:val="28"/>
          <w:highlight w:val="none"/>
        </w:rPr>
        <w:t>。</w:t>
      </w:r>
    </w:p>
    <w:p w14:paraId="5868AD6A">
      <w:pPr>
        <w:pStyle w:val="155"/>
        <w:spacing w:before="0" w:beforeAutospacing="0" w:after="0" w:afterAutospacing="0" w:line="490" w:lineRule="exact"/>
        <w:outlineLvl w:val="1"/>
        <w:rPr>
          <w:rFonts w:hint="eastAsia" w:ascii="宋体" w:hAnsi="宋体" w:eastAsia="宋体" w:cs="宋体"/>
          <w:b/>
          <w:bCs/>
          <w:color w:val="auto"/>
          <w:highlight w:val="none"/>
        </w:rPr>
      </w:pPr>
      <w:bookmarkStart w:id="94" w:name="_Toc231"/>
      <w:r>
        <w:rPr>
          <w:rFonts w:hint="eastAsia" w:cs="宋体"/>
          <w:b/>
          <w:bCs/>
          <w:color w:val="auto"/>
          <w:highlight w:val="none"/>
          <w:lang w:val="en-US" w:eastAsia="zh-CN"/>
        </w:rPr>
        <w:t>八</w:t>
      </w:r>
      <w:r>
        <w:rPr>
          <w:rFonts w:hint="eastAsia" w:ascii="宋体" w:hAnsi="宋体" w:eastAsia="宋体" w:cs="宋体"/>
          <w:b/>
          <w:bCs/>
          <w:color w:val="auto"/>
          <w:highlight w:val="none"/>
        </w:rPr>
        <w:t>、发布公告的媒介</w:t>
      </w:r>
      <w:bookmarkEnd w:id="94"/>
    </w:p>
    <w:p w14:paraId="4C16693C">
      <w:pPr>
        <w:widowControl/>
        <w:spacing w:line="480" w:lineRule="exact"/>
        <w:ind w:firstLine="480" w:firstLineChars="200"/>
        <w:jc w:val="left"/>
        <w:rPr>
          <w:rFonts w:hint="eastAsia" w:ascii="宋体" w:hAnsi="宋体" w:eastAsia="宋体" w:cs="宋体"/>
          <w:color w:val="auto"/>
          <w:sz w:val="24"/>
          <w:highlight w:val="none"/>
          <w:lang w:val="en-US" w:eastAsia="zh-CN"/>
        </w:rPr>
      </w:pPr>
      <w:bookmarkStart w:id="95" w:name="_Toc29930"/>
      <w:r>
        <w:rPr>
          <w:rFonts w:hint="eastAsia" w:ascii="宋体" w:hAnsi="宋体" w:eastAsia="宋体" w:cs="宋体"/>
          <w:color w:val="auto"/>
          <w:sz w:val="24"/>
          <w:highlight w:val="none"/>
          <w:lang w:val="en-US" w:eastAsia="zh-CN"/>
        </w:rPr>
        <w:t>本次招标公告</w:t>
      </w:r>
      <w:r>
        <w:rPr>
          <w:rFonts w:hint="eastAsia" w:ascii="宋体" w:hAnsi="宋体" w:cs="宋体"/>
          <w:color w:val="auto"/>
          <w:sz w:val="24"/>
          <w:highlight w:val="none"/>
          <w:lang w:val="en-US" w:eastAsia="zh-CN"/>
        </w:rPr>
        <w:t>同时</w:t>
      </w:r>
      <w:r>
        <w:rPr>
          <w:rFonts w:hint="eastAsia" w:ascii="宋体" w:hAnsi="宋体" w:eastAsia="宋体" w:cs="宋体"/>
          <w:color w:val="auto"/>
          <w:sz w:val="24"/>
          <w:highlight w:val="none"/>
          <w:lang w:val="en-US" w:eastAsia="zh-CN"/>
        </w:rPr>
        <w:t>在《河南省政府采购网》、《中国采购与招标网》、《</w:t>
      </w:r>
      <w:r>
        <w:rPr>
          <w:rFonts w:hint="eastAsia" w:ascii="宋体" w:hAnsi="宋体" w:cs="宋体"/>
          <w:color w:val="auto"/>
          <w:sz w:val="24"/>
          <w:highlight w:val="none"/>
          <w:lang w:val="en-US" w:eastAsia="zh-CN"/>
        </w:rPr>
        <w:t>中国</w:t>
      </w:r>
      <w:r>
        <w:rPr>
          <w:rFonts w:hint="eastAsia" w:ascii="宋体" w:hAnsi="宋体" w:eastAsia="宋体" w:cs="宋体"/>
          <w:color w:val="auto"/>
          <w:sz w:val="24"/>
          <w:highlight w:val="none"/>
          <w:lang w:val="en-US" w:eastAsia="zh-CN"/>
        </w:rPr>
        <w:t>招标投标公共服务平台》和《三门峡市公共资源交易中心网》</w:t>
      </w:r>
      <w:r>
        <w:rPr>
          <w:rFonts w:hint="eastAsia" w:ascii="宋体" w:hAnsi="宋体" w:cs="宋体"/>
          <w:color w:val="auto"/>
          <w:sz w:val="24"/>
          <w:highlight w:val="none"/>
          <w:lang w:val="en-US" w:eastAsia="zh-CN"/>
        </w:rPr>
        <w:t>等网站</w:t>
      </w:r>
      <w:r>
        <w:rPr>
          <w:rFonts w:hint="eastAsia" w:ascii="宋体" w:hAnsi="宋体" w:eastAsia="宋体" w:cs="宋体"/>
          <w:color w:val="auto"/>
          <w:sz w:val="24"/>
          <w:highlight w:val="none"/>
          <w:lang w:val="en-US" w:eastAsia="zh-CN"/>
        </w:rPr>
        <w:t>上发布。</w:t>
      </w:r>
    </w:p>
    <w:p w14:paraId="7592B2A2">
      <w:pPr>
        <w:pStyle w:val="155"/>
        <w:spacing w:before="0" w:beforeAutospacing="0" w:after="0" w:afterAutospacing="0" w:line="500" w:lineRule="exact"/>
        <w:outlineLvl w:val="1"/>
        <w:rPr>
          <w:rFonts w:hint="eastAsia" w:ascii="宋体" w:hAnsi="宋体" w:eastAsia="宋体" w:cs="宋体"/>
          <w:b/>
          <w:bCs/>
          <w:color w:val="auto"/>
          <w:highlight w:val="none"/>
        </w:rPr>
      </w:pPr>
      <w:r>
        <w:rPr>
          <w:rFonts w:hint="eastAsia" w:cs="宋体"/>
          <w:b/>
          <w:bCs/>
          <w:color w:val="auto"/>
          <w:highlight w:val="none"/>
          <w:lang w:val="en-US" w:eastAsia="zh-CN"/>
        </w:rPr>
        <w:t>九</w:t>
      </w:r>
      <w:r>
        <w:rPr>
          <w:rFonts w:hint="eastAsia" w:ascii="宋体" w:hAnsi="宋体" w:eastAsia="宋体" w:cs="宋体"/>
          <w:b/>
          <w:bCs/>
          <w:color w:val="auto"/>
          <w:highlight w:val="none"/>
        </w:rPr>
        <w:t>、 联系方式</w:t>
      </w:r>
      <w:bookmarkEnd w:id="95"/>
    </w:p>
    <w:p w14:paraId="588A56B7">
      <w:pPr>
        <w:pStyle w:val="155"/>
        <w:spacing w:before="0" w:beforeAutospacing="0" w:after="0" w:afterAutospacing="0"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监督机构：</w:t>
      </w:r>
      <w:r>
        <w:rPr>
          <w:rFonts w:hint="eastAsia" w:ascii="宋体" w:hAnsi="宋体" w:eastAsia="宋体" w:cs="宋体"/>
          <w:color w:val="auto"/>
          <w:highlight w:val="none"/>
          <w:lang w:val="en-US" w:eastAsia="zh-CN"/>
        </w:rPr>
        <w:t>三门峡市湖滨区财政局采购办</w:t>
      </w:r>
    </w:p>
    <w:p w14:paraId="0425DA1B">
      <w:pPr>
        <w:pStyle w:val="155"/>
        <w:spacing w:before="0" w:beforeAutospacing="0" w:after="0" w:afterAutospacing="0" w:line="500" w:lineRule="exact"/>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联系电话：</w:t>
      </w:r>
      <w:r>
        <w:rPr>
          <w:rFonts w:hint="eastAsia" w:ascii="宋体" w:hAnsi="宋体" w:eastAsia="宋体" w:cs="宋体"/>
          <w:color w:val="auto"/>
          <w:highlight w:val="none"/>
          <w:lang w:val="en-US" w:eastAsia="zh-CN"/>
        </w:rPr>
        <w:t>0398-2957328</w:t>
      </w:r>
      <w:r>
        <w:rPr>
          <w:rFonts w:hint="eastAsia" w:cs="宋体"/>
          <w:color w:val="auto"/>
          <w:highlight w:val="none"/>
          <w:lang w:val="en-US" w:eastAsia="zh-CN"/>
        </w:rPr>
        <w:t xml:space="preserve"> </w:t>
      </w:r>
    </w:p>
    <w:p w14:paraId="60E198D7">
      <w:pPr>
        <w:pStyle w:val="155"/>
        <w:spacing w:before="0" w:beforeAutospacing="0" w:after="0" w:afterAutospacing="0" w:line="500" w:lineRule="exact"/>
        <w:ind w:firstLine="480" w:firstLineChars="200"/>
        <w:outlineLvl w:val="0"/>
        <w:rPr>
          <w:rFonts w:hint="eastAsia" w:ascii="宋体" w:hAnsi="宋体" w:eastAsia="宋体" w:cs="宋体"/>
          <w:color w:val="auto"/>
          <w:highlight w:val="none"/>
          <w:lang w:eastAsia="zh-CN"/>
        </w:rPr>
      </w:pPr>
      <w:bookmarkStart w:id="96" w:name="_Toc3974"/>
      <w:bookmarkStart w:id="97" w:name="_Toc27439"/>
      <w:bookmarkStart w:id="98" w:name="_Toc14408"/>
      <w:bookmarkStart w:id="99" w:name="_Toc10376"/>
      <w:r>
        <w:rPr>
          <w:rFonts w:hint="eastAsia" w:ascii="宋体" w:hAnsi="宋体" w:eastAsia="宋体" w:cs="宋体"/>
          <w:color w:val="auto"/>
          <w:highlight w:val="none"/>
        </w:rPr>
        <w:t>招 标 人：</w:t>
      </w:r>
      <w:bookmarkEnd w:id="96"/>
      <w:bookmarkEnd w:id="97"/>
      <w:bookmarkEnd w:id="98"/>
      <w:r>
        <w:rPr>
          <w:rFonts w:hint="eastAsia" w:cs="宋体"/>
          <w:bCs/>
          <w:color w:val="auto"/>
          <w:highlight w:val="none"/>
          <w:lang w:eastAsia="zh-CN"/>
        </w:rPr>
        <w:t>中共三门峡市湖滨区委政法委员会</w:t>
      </w:r>
      <w:bookmarkEnd w:id="99"/>
    </w:p>
    <w:p w14:paraId="64EFB7CE">
      <w:pPr>
        <w:pStyle w:val="155"/>
        <w:spacing w:before="0" w:beforeAutospacing="0" w:after="0" w:afterAutospacing="0" w:line="500" w:lineRule="exact"/>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 系 人：</w:t>
      </w:r>
      <w:r>
        <w:rPr>
          <w:rFonts w:hint="eastAsia" w:cs="宋体"/>
          <w:color w:val="auto"/>
          <w:highlight w:val="none"/>
          <w:lang w:val="en-US" w:eastAsia="zh-CN"/>
        </w:rPr>
        <w:t>苏先生</w:t>
      </w:r>
    </w:p>
    <w:p w14:paraId="46CEC098">
      <w:pPr>
        <w:pStyle w:val="155"/>
        <w:spacing w:before="0" w:beforeAutospacing="0" w:after="0" w:afterAutospacing="0" w:line="500" w:lineRule="exact"/>
        <w:ind w:firstLine="480" w:firstLineChars="200"/>
        <w:rPr>
          <w:rFonts w:hint="default" w:ascii="宋体" w:hAnsi="宋体" w:eastAsia="宋体" w:cs="宋体"/>
          <w:color w:val="auto"/>
          <w:highlight w:val="none"/>
          <w:lang w:val="en-US" w:eastAsia="zh-CN"/>
        </w:rPr>
      </w:pPr>
      <w:r>
        <w:rPr>
          <w:rFonts w:hint="eastAsia" w:ascii="宋体" w:hAnsi="宋体" w:eastAsia="宋体" w:cs="宋体"/>
          <w:color w:val="auto"/>
          <w:highlight w:val="none"/>
        </w:rPr>
        <w:t>电    话：</w:t>
      </w:r>
      <w:r>
        <w:rPr>
          <w:rFonts w:hint="eastAsia" w:cs="宋体"/>
          <w:color w:val="auto"/>
          <w:highlight w:val="none"/>
          <w:lang w:val="en-US" w:eastAsia="zh-CN"/>
        </w:rPr>
        <w:t>18003988787</w:t>
      </w:r>
    </w:p>
    <w:p w14:paraId="54D5AC48">
      <w:pPr>
        <w:pStyle w:val="155"/>
        <w:spacing w:before="0" w:beforeAutospacing="0" w:after="0" w:afterAutospacing="0" w:line="500" w:lineRule="exact"/>
        <w:ind w:firstLine="480" w:firstLineChars="200"/>
        <w:rPr>
          <w:rFonts w:hint="eastAsia" w:ascii="宋体" w:hAnsi="宋体" w:eastAsia="宋体" w:cs="宋体"/>
          <w:color w:val="auto"/>
          <w:highlight w:val="none"/>
        </w:rPr>
      </w:pPr>
      <w:r>
        <w:rPr>
          <w:rFonts w:hint="eastAsia" w:cs="宋体"/>
          <w:color w:val="auto"/>
          <w:highlight w:val="none"/>
          <w:lang w:eastAsia="zh-CN"/>
        </w:rPr>
        <w:t>采购代理机构</w:t>
      </w:r>
      <w:r>
        <w:rPr>
          <w:rFonts w:hint="eastAsia" w:ascii="宋体" w:hAnsi="宋体" w:eastAsia="宋体" w:cs="宋体"/>
          <w:color w:val="auto"/>
          <w:highlight w:val="none"/>
        </w:rPr>
        <w:t>：河南恒泽顺工程管理有限公司</w:t>
      </w:r>
    </w:p>
    <w:p w14:paraId="67C08434">
      <w:pPr>
        <w:pStyle w:val="155"/>
        <w:spacing w:before="0" w:beforeAutospacing="0" w:after="0" w:afterAutospacing="0"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地    址:三门峡市工商联大厦B座1102室</w:t>
      </w:r>
    </w:p>
    <w:p w14:paraId="72A62F15">
      <w:pPr>
        <w:pStyle w:val="155"/>
        <w:spacing w:before="0" w:beforeAutospacing="0" w:after="0" w:afterAutospacing="0"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联 系 人：</w:t>
      </w:r>
      <w:r>
        <w:rPr>
          <w:rFonts w:hint="eastAsia" w:cs="宋体"/>
          <w:color w:val="auto"/>
          <w:highlight w:val="none"/>
          <w:lang w:val="en-US" w:eastAsia="zh-CN"/>
        </w:rPr>
        <w:t>任</w:t>
      </w:r>
      <w:r>
        <w:rPr>
          <w:rFonts w:hint="eastAsia" w:ascii="宋体" w:hAnsi="宋体" w:eastAsia="宋体" w:cs="宋体"/>
          <w:color w:val="auto"/>
          <w:highlight w:val="none"/>
        </w:rPr>
        <w:t>女士</w:t>
      </w:r>
    </w:p>
    <w:p w14:paraId="75E5C457">
      <w:pPr>
        <w:pStyle w:val="155"/>
        <w:spacing w:before="0" w:beforeAutospacing="0" w:after="0" w:afterAutospacing="0"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电    话：</w:t>
      </w:r>
      <w:r>
        <w:rPr>
          <w:rFonts w:hint="eastAsia" w:ascii="宋体" w:hAnsi="宋体" w:eastAsia="宋体" w:cs="宋体"/>
          <w:color w:val="auto"/>
          <w:highlight w:val="none"/>
          <w:lang w:val="en-US" w:eastAsia="zh-CN"/>
        </w:rPr>
        <w:t>15539872617</w:t>
      </w:r>
    </w:p>
    <w:p w14:paraId="3C659210">
      <w:pPr>
        <w:pStyle w:val="155"/>
        <w:spacing w:before="0" w:beforeAutospacing="0" w:after="0" w:afterAutospacing="0"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邮    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"mailto:henanhengzeshunzb@126.com"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henanhengzeshunzb@126.com</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 xml:space="preserve"> </w:t>
      </w:r>
    </w:p>
    <w:p w14:paraId="3BE94B0C">
      <w:pPr>
        <w:pStyle w:val="155"/>
        <w:spacing w:before="0" w:beforeAutospacing="0" w:after="0" w:afterAutospacing="0" w:line="500" w:lineRule="exact"/>
        <w:ind w:firstLine="480" w:firstLineChars="200"/>
        <w:rPr>
          <w:rFonts w:hint="eastAsia" w:ascii="宋体" w:hAnsi="宋体" w:eastAsia="宋体" w:cs="宋体"/>
          <w:color w:val="auto"/>
          <w:highlight w:val="none"/>
        </w:rPr>
      </w:pPr>
    </w:p>
    <w:p w14:paraId="1D6B38BD">
      <w:pPr>
        <w:pStyle w:val="155"/>
        <w:keepNext w:val="0"/>
        <w:keepLines w:val="0"/>
        <w:pageBreakBefore w:val="0"/>
        <w:kinsoku/>
        <w:overflowPunct/>
        <w:topLinePunct w:val="0"/>
        <w:bidi w:val="0"/>
        <w:adjustRightInd/>
        <w:snapToGrid/>
        <w:spacing w:line="360" w:lineRule="auto"/>
        <w:jc w:val="right"/>
        <w:textAlignment w:val="auto"/>
        <w:rPr>
          <w:color w:val="auto"/>
          <w:kern w:val="2"/>
          <w:highlight w:val="none"/>
        </w:rPr>
      </w:pPr>
      <w:r>
        <w:rPr>
          <w:rFonts w:hint="eastAsia"/>
          <w:color w:val="auto"/>
          <w:kern w:val="2"/>
          <w:highlight w:val="none"/>
        </w:rPr>
        <w:t>202</w:t>
      </w:r>
      <w:r>
        <w:rPr>
          <w:rFonts w:hint="eastAsia"/>
          <w:color w:val="auto"/>
          <w:kern w:val="2"/>
          <w:highlight w:val="none"/>
          <w:lang w:val="en-US" w:eastAsia="zh-CN"/>
        </w:rPr>
        <w:t>5</w:t>
      </w:r>
      <w:r>
        <w:rPr>
          <w:rFonts w:hint="eastAsia"/>
          <w:color w:val="auto"/>
          <w:kern w:val="2"/>
          <w:highlight w:val="none"/>
        </w:rPr>
        <w:t>年</w:t>
      </w:r>
      <w:r>
        <w:rPr>
          <w:rFonts w:hint="eastAsia"/>
          <w:color w:val="auto"/>
          <w:kern w:val="2"/>
          <w:highlight w:val="none"/>
          <w:lang w:val="en-US" w:eastAsia="zh-CN"/>
        </w:rPr>
        <w:t>12</w:t>
      </w:r>
      <w:r>
        <w:rPr>
          <w:rFonts w:hint="eastAsia"/>
          <w:color w:val="auto"/>
          <w:kern w:val="2"/>
          <w:highlight w:val="none"/>
        </w:rPr>
        <w:t>月</w:t>
      </w:r>
      <w:r>
        <w:rPr>
          <w:rFonts w:hint="eastAsia"/>
          <w:color w:val="auto"/>
          <w:kern w:val="2"/>
          <w:highlight w:val="none"/>
          <w:lang w:val="en-US" w:eastAsia="zh-CN"/>
        </w:rPr>
        <w:t>02</w:t>
      </w:r>
      <w:r>
        <w:rPr>
          <w:rFonts w:hint="eastAsia"/>
          <w:color w:val="auto"/>
          <w:kern w:val="2"/>
          <w:highlight w:val="none"/>
        </w:rPr>
        <w:t>日</w:t>
      </w:r>
    </w:p>
    <w:p w14:paraId="1D4524FC">
      <w:pPr>
        <w:pStyle w:val="39"/>
        <w:spacing w:before="0" w:beforeAutospacing="0" w:after="0" w:afterAutospacing="0"/>
        <w:jc w:val="both"/>
        <w:rPr>
          <w:rFonts w:hint="eastAsia" w:ascii="宋体" w:hAnsi="宋体" w:eastAsia="宋体" w:cs="宋体"/>
          <w:color w:val="auto"/>
          <w:highlight w:val="none"/>
        </w:rPr>
      </w:pPr>
    </w:p>
    <w:p w14:paraId="6C1F9570">
      <w:pPr>
        <w:pStyle w:val="60"/>
        <w:rPr>
          <w:rFonts w:hint="eastAsia" w:ascii="宋体" w:hAnsi="宋体" w:eastAsia="宋体" w:cs="宋体"/>
          <w:color w:val="auto"/>
          <w:highlight w:val="none"/>
        </w:rPr>
      </w:pPr>
    </w:p>
    <w:p w14:paraId="47AA9C4B">
      <w:pPr>
        <w:pStyle w:val="3"/>
        <w:tabs>
          <w:tab w:val="left" w:pos="425"/>
        </w:tabs>
        <w:spacing w:before="0" w:after="0"/>
        <w:jc w:val="center"/>
        <w:outlineLvl w:val="9"/>
        <w:rPr>
          <w:rFonts w:hint="eastAsia" w:ascii="宋体" w:hAnsi="宋体" w:eastAsia="宋体" w:cs="宋体"/>
          <w:color w:val="auto"/>
          <w:highlight w:val="none"/>
        </w:rPr>
      </w:pPr>
      <w:bookmarkStart w:id="100" w:name="_Toc15864"/>
      <w:bookmarkStart w:id="101" w:name="_Toc20059"/>
      <w:bookmarkStart w:id="102" w:name="_Toc505093157"/>
      <w:bookmarkStart w:id="103" w:name="_Toc19474"/>
      <w:bookmarkStart w:id="104" w:name="_Toc23519"/>
    </w:p>
    <w:p w14:paraId="4C1FE9D7">
      <w:pPr>
        <w:pStyle w:val="3"/>
        <w:tabs>
          <w:tab w:val="left" w:pos="425"/>
        </w:tabs>
        <w:spacing w:before="0" w:after="0"/>
        <w:jc w:val="center"/>
        <w:outlineLvl w:val="9"/>
        <w:rPr>
          <w:rFonts w:hint="eastAsia" w:ascii="宋体" w:hAnsi="宋体" w:eastAsia="宋体" w:cs="宋体"/>
          <w:color w:val="auto"/>
          <w:highlight w:val="none"/>
        </w:rPr>
      </w:pPr>
    </w:p>
    <w:p w14:paraId="244E161A">
      <w:pPr>
        <w:pStyle w:val="3"/>
        <w:tabs>
          <w:tab w:val="left" w:pos="425"/>
        </w:tabs>
        <w:spacing w:before="0" w:after="0"/>
        <w:jc w:val="center"/>
        <w:outlineLvl w:val="9"/>
        <w:rPr>
          <w:rFonts w:hint="eastAsia" w:ascii="宋体" w:hAnsi="宋体" w:eastAsia="宋体" w:cs="宋体"/>
          <w:color w:val="auto"/>
          <w:highlight w:val="none"/>
        </w:rPr>
      </w:pPr>
    </w:p>
    <w:p w14:paraId="51D93E85">
      <w:pPr>
        <w:pStyle w:val="3"/>
        <w:tabs>
          <w:tab w:val="left" w:pos="425"/>
        </w:tabs>
        <w:spacing w:before="0" w:after="0"/>
        <w:jc w:val="center"/>
        <w:outlineLvl w:val="9"/>
        <w:rPr>
          <w:rFonts w:hint="eastAsia" w:ascii="宋体" w:hAnsi="宋体" w:eastAsia="宋体" w:cs="宋体"/>
          <w:color w:val="auto"/>
          <w:highlight w:val="none"/>
        </w:rPr>
      </w:pPr>
    </w:p>
    <w:p w14:paraId="6B6E8DB7">
      <w:pPr>
        <w:pStyle w:val="3"/>
        <w:tabs>
          <w:tab w:val="left" w:pos="425"/>
        </w:tabs>
        <w:spacing w:before="0" w:after="0"/>
        <w:jc w:val="center"/>
        <w:outlineLvl w:val="9"/>
        <w:rPr>
          <w:rFonts w:hint="eastAsia" w:ascii="宋体" w:hAnsi="宋体" w:eastAsia="宋体" w:cs="宋体"/>
          <w:color w:val="auto"/>
          <w:highlight w:val="none"/>
        </w:rPr>
      </w:pPr>
    </w:p>
    <w:p w14:paraId="67959632">
      <w:pPr>
        <w:rPr>
          <w:rFonts w:hint="eastAsia" w:ascii="宋体" w:hAnsi="宋体" w:eastAsia="宋体" w:cs="宋体"/>
          <w:color w:val="auto"/>
          <w:highlight w:val="none"/>
        </w:rPr>
      </w:pPr>
    </w:p>
    <w:p w14:paraId="05B167AE">
      <w:pPr>
        <w:pStyle w:val="60"/>
        <w:rPr>
          <w:rFonts w:hint="eastAsia" w:ascii="宋体" w:hAnsi="宋体" w:eastAsia="宋体" w:cs="宋体"/>
          <w:color w:val="auto"/>
          <w:highlight w:val="none"/>
        </w:rPr>
      </w:pPr>
    </w:p>
    <w:p w14:paraId="72004A5A">
      <w:pPr>
        <w:rPr>
          <w:rFonts w:hint="default"/>
          <w:color w:val="auto"/>
          <w:highlight w:val="none"/>
          <w:lang w:val="en-US" w:eastAsia="zh-CN"/>
        </w:rPr>
      </w:pPr>
    </w:p>
    <w:p w14:paraId="771B7906">
      <w:pPr>
        <w:pStyle w:val="60"/>
        <w:rPr>
          <w:rFonts w:hint="default"/>
          <w:color w:val="auto"/>
          <w:highlight w:val="none"/>
          <w:lang w:val="en-US" w:eastAsia="zh-CN"/>
        </w:rPr>
      </w:pPr>
    </w:p>
    <w:p w14:paraId="6FA10B8A">
      <w:pPr>
        <w:rPr>
          <w:rFonts w:hint="eastAsia"/>
          <w:color w:val="auto"/>
          <w:highlight w:val="none"/>
          <w:lang w:val="en-US" w:eastAsia="zh-CN"/>
        </w:rPr>
      </w:pPr>
      <w:bookmarkStart w:id="105" w:name="_Toc3784"/>
      <w:bookmarkStart w:id="106" w:name="_Toc25111"/>
    </w:p>
    <w:p w14:paraId="336D4680">
      <w:pPr>
        <w:pStyle w:val="3"/>
        <w:tabs>
          <w:tab w:val="left" w:pos="425"/>
        </w:tabs>
        <w:spacing w:before="0" w:after="0"/>
        <w:jc w:val="center"/>
        <w:outlineLvl w:val="0"/>
        <w:rPr>
          <w:rFonts w:hint="eastAsia" w:ascii="宋体" w:hAnsi="宋体" w:eastAsia="宋体" w:cs="宋体"/>
          <w:color w:val="auto"/>
          <w:highlight w:val="none"/>
          <w:lang w:val="en-US" w:eastAsia="zh-CN"/>
        </w:rPr>
      </w:pPr>
      <w:bookmarkStart w:id="107" w:name="_Toc18814"/>
      <w:bookmarkStart w:id="108" w:name="_Toc27493"/>
    </w:p>
    <w:p w14:paraId="3A974D3F">
      <w:pPr>
        <w:pStyle w:val="3"/>
        <w:tabs>
          <w:tab w:val="left" w:pos="425"/>
        </w:tabs>
        <w:spacing w:before="0" w:after="0"/>
        <w:jc w:val="center"/>
        <w:outlineLvl w:val="0"/>
        <w:rPr>
          <w:rFonts w:hint="eastAsia" w:ascii="宋体" w:hAnsi="宋体" w:eastAsia="宋体" w:cs="宋体"/>
          <w:color w:val="auto"/>
          <w:highlight w:val="none"/>
          <w:lang w:val="en-US" w:eastAsia="zh-CN"/>
        </w:rPr>
      </w:pPr>
    </w:p>
    <w:p w14:paraId="5469C9CA">
      <w:pPr>
        <w:bidi w:val="0"/>
        <w:rPr>
          <w:rFonts w:hint="eastAsia"/>
          <w:color w:val="auto"/>
          <w:highlight w:val="none"/>
          <w:lang w:val="en-US" w:eastAsia="zh-CN"/>
        </w:rPr>
      </w:pPr>
    </w:p>
    <w:p w14:paraId="67724443">
      <w:pPr>
        <w:bidi w:val="0"/>
        <w:jc w:val="center"/>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t>第二章 投标人须知</w:t>
      </w:r>
    </w:p>
    <w:p w14:paraId="15C85BA8">
      <w:pPr>
        <w:pStyle w:val="3"/>
        <w:tabs>
          <w:tab w:val="left" w:pos="425"/>
        </w:tabs>
        <w:spacing w:before="0" w:after="0"/>
        <w:jc w:val="center"/>
        <w:outlineLvl w:val="0"/>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投标人须知前附表</w:t>
      </w:r>
      <w:bookmarkEnd w:id="107"/>
      <w:bookmarkEnd w:id="108"/>
    </w:p>
    <w:bookmarkEnd w:id="100"/>
    <w:bookmarkEnd w:id="101"/>
    <w:bookmarkEnd w:id="102"/>
    <w:bookmarkEnd w:id="103"/>
    <w:bookmarkEnd w:id="104"/>
    <w:bookmarkEnd w:id="105"/>
    <w:bookmarkEnd w:id="106"/>
    <w:tbl>
      <w:tblPr>
        <w:tblStyle w:val="43"/>
        <w:tblW w:w="10188" w:type="dxa"/>
        <w:jc w:val="center"/>
        <w:tblLayout w:type="fixed"/>
        <w:tblCellMar>
          <w:top w:w="0" w:type="dxa"/>
          <w:left w:w="0" w:type="dxa"/>
          <w:bottom w:w="0" w:type="dxa"/>
          <w:right w:w="0" w:type="dxa"/>
        </w:tblCellMar>
      </w:tblPr>
      <w:tblGrid>
        <w:gridCol w:w="904"/>
        <w:gridCol w:w="2683"/>
        <w:gridCol w:w="6601"/>
      </w:tblGrid>
      <w:tr w14:paraId="5050D25A">
        <w:tblPrEx>
          <w:tblCellMar>
            <w:top w:w="0" w:type="dxa"/>
            <w:left w:w="0" w:type="dxa"/>
            <w:bottom w:w="0" w:type="dxa"/>
            <w:right w:w="0" w:type="dxa"/>
          </w:tblCellMar>
        </w:tblPrEx>
        <w:trPr>
          <w:trHeight w:val="540" w:hRule="atLeast"/>
          <w:tblHeader/>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3297B54D">
            <w:pPr>
              <w:autoSpaceDE w:val="0"/>
              <w:autoSpaceDN w:val="0"/>
              <w:adjustRightInd w:val="0"/>
              <w:spacing w:line="360" w:lineRule="auto"/>
              <w:rPr>
                <w:rFonts w:hint="eastAsia" w:ascii="宋体" w:hAnsi="宋体" w:eastAsia="宋体" w:cs="宋体"/>
                <w:b/>
                <w:bCs/>
                <w:color w:val="auto"/>
                <w:spacing w:val="1"/>
                <w:kern w:val="0"/>
                <w:sz w:val="24"/>
                <w:highlight w:val="none"/>
              </w:rPr>
            </w:pPr>
            <w:r>
              <w:rPr>
                <w:rFonts w:hint="eastAsia" w:ascii="宋体" w:hAnsi="宋体" w:eastAsia="宋体" w:cs="宋体"/>
                <w:b/>
                <w:bCs/>
                <w:color w:val="auto"/>
                <w:spacing w:val="1"/>
                <w:kern w:val="0"/>
                <w:sz w:val="24"/>
                <w:highlight w:val="none"/>
              </w:rPr>
              <w:t>条款号</w:t>
            </w:r>
          </w:p>
        </w:tc>
        <w:tc>
          <w:tcPr>
            <w:tcW w:w="2683" w:type="dxa"/>
            <w:tcBorders>
              <w:top w:val="single" w:color="000000" w:sz="4" w:space="0"/>
              <w:left w:val="single" w:color="000000" w:sz="4" w:space="0"/>
              <w:bottom w:val="single" w:color="000000" w:sz="4" w:space="0"/>
              <w:right w:val="single" w:color="000000" w:sz="4" w:space="0"/>
            </w:tcBorders>
            <w:vAlign w:val="center"/>
          </w:tcPr>
          <w:p w14:paraId="5C561B3A">
            <w:pPr>
              <w:autoSpaceDE w:val="0"/>
              <w:autoSpaceDN w:val="0"/>
              <w:adjustRightInd w:val="0"/>
              <w:spacing w:line="360" w:lineRule="auto"/>
              <w:ind w:firstLine="68" w:firstLineChars="28"/>
              <w:jc w:val="center"/>
              <w:rPr>
                <w:rFonts w:hint="eastAsia" w:ascii="宋体" w:hAnsi="宋体" w:eastAsia="宋体" w:cs="宋体"/>
                <w:b/>
                <w:bCs/>
                <w:color w:val="auto"/>
                <w:spacing w:val="1"/>
                <w:kern w:val="0"/>
                <w:sz w:val="24"/>
                <w:highlight w:val="none"/>
              </w:rPr>
            </w:pPr>
            <w:r>
              <w:rPr>
                <w:rFonts w:hint="eastAsia" w:ascii="宋体" w:hAnsi="宋体" w:eastAsia="宋体" w:cs="宋体"/>
                <w:b/>
                <w:bCs/>
                <w:color w:val="auto"/>
                <w:spacing w:val="1"/>
                <w:kern w:val="0"/>
                <w:sz w:val="24"/>
                <w:highlight w:val="none"/>
              </w:rPr>
              <w:t>条款名称</w:t>
            </w:r>
          </w:p>
        </w:tc>
        <w:tc>
          <w:tcPr>
            <w:tcW w:w="6601" w:type="dxa"/>
            <w:tcBorders>
              <w:top w:val="single" w:color="000000" w:sz="4" w:space="0"/>
              <w:left w:val="single" w:color="000000" w:sz="4" w:space="0"/>
              <w:bottom w:val="single" w:color="000000" w:sz="4" w:space="0"/>
              <w:right w:val="single" w:color="000000" w:sz="4" w:space="0"/>
            </w:tcBorders>
            <w:vAlign w:val="center"/>
          </w:tcPr>
          <w:p w14:paraId="54570921">
            <w:pPr>
              <w:autoSpaceDE w:val="0"/>
              <w:autoSpaceDN w:val="0"/>
              <w:adjustRightInd w:val="0"/>
              <w:spacing w:line="360" w:lineRule="auto"/>
              <w:jc w:val="center"/>
              <w:rPr>
                <w:rFonts w:hint="eastAsia" w:ascii="宋体" w:hAnsi="宋体" w:eastAsia="宋体" w:cs="宋体"/>
                <w:b/>
                <w:bCs/>
                <w:color w:val="auto"/>
                <w:spacing w:val="1"/>
                <w:kern w:val="0"/>
                <w:sz w:val="24"/>
                <w:highlight w:val="none"/>
              </w:rPr>
            </w:pPr>
            <w:r>
              <w:rPr>
                <w:rFonts w:hint="eastAsia" w:ascii="宋体" w:hAnsi="宋体" w:eastAsia="宋体" w:cs="宋体"/>
                <w:b/>
                <w:bCs/>
                <w:color w:val="auto"/>
                <w:spacing w:val="1"/>
                <w:kern w:val="0"/>
                <w:sz w:val="24"/>
                <w:highlight w:val="none"/>
              </w:rPr>
              <w:t>编列内容</w:t>
            </w:r>
          </w:p>
        </w:tc>
      </w:tr>
      <w:tr w14:paraId="42E6BF2E">
        <w:tblPrEx>
          <w:tblCellMar>
            <w:top w:w="0" w:type="dxa"/>
            <w:left w:w="0" w:type="dxa"/>
            <w:bottom w:w="0" w:type="dxa"/>
            <w:right w:w="0" w:type="dxa"/>
          </w:tblCellMar>
        </w:tblPrEx>
        <w:trPr>
          <w:trHeight w:val="1563"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4B12E8CD">
            <w:pPr>
              <w:autoSpaceDE w:val="0"/>
              <w:autoSpaceDN w:val="0"/>
              <w:adjustRightIn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1.1.</w:t>
            </w:r>
            <w:r>
              <w:rPr>
                <w:rFonts w:hint="eastAsia" w:ascii="宋体" w:hAnsi="宋体" w:cs="宋体"/>
                <w:color w:val="auto"/>
                <w:sz w:val="24"/>
                <w:highlight w:val="none"/>
                <w:lang w:val="en-US" w:eastAsia="zh-CN"/>
              </w:rPr>
              <w:t>1</w:t>
            </w:r>
          </w:p>
        </w:tc>
        <w:tc>
          <w:tcPr>
            <w:tcW w:w="2683" w:type="dxa"/>
            <w:tcBorders>
              <w:top w:val="single" w:color="000000" w:sz="4" w:space="0"/>
              <w:left w:val="single" w:color="000000" w:sz="4" w:space="0"/>
              <w:bottom w:val="single" w:color="000000" w:sz="4" w:space="0"/>
              <w:right w:val="single" w:color="000000" w:sz="4" w:space="0"/>
            </w:tcBorders>
            <w:vAlign w:val="center"/>
          </w:tcPr>
          <w:p w14:paraId="58468041">
            <w:pPr>
              <w:pStyle w:val="155"/>
              <w:spacing w:before="0" w:beforeAutospacing="0" w:after="0" w:afterAutospacing="0" w:line="500" w:lineRule="exact"/>
              <w:jc w:val="center"/>
              <w:rPr>
                <w:rFonts w:hint="eastAsia" w:ascii="宋体" w:hAnsi="宋体" w:eastAsia="宋体" w:cs="宋体"/>
                <w:color w:val="auto"/>
                <w:highlight w:val="none"/>
                <w:lang w:eastAsia="zh-CN"/>
              </w:rPr>
            </w:pPr>
            <w:r>
              <w:rPr>
                <w:rFonts w:hint="eastAsia" w:cs="宋体"/>
                <w:color w:val="auto"/>
                <w:highlight w:val="none"/>
                <w:lang w:eastAsia="zh-CN"/>
              </w:rPr>
              <w:t>采购人</w:t>
            </w:r>
          </w:p>
        </w:tc>
        <w:tc>
          <w:tcPr>
            <w:tcW w:w="6601" w:type="dxa"/>
            <w:tcBorders>
              <w:top w:val="single" w:color="000000" w:sz="4" w:space="0"/>
              <w:left w:val="single" w:color="000000" w:sz="4" w:space="0"/>
              <w:bottom w:val="single" w:color="000000" w:sz="4" w:space="0"/>
              <w:right w:val="single" w:color="000000" w:sz="4" w:space="0"/>
            </w:tcBorders>
            <w:vAlign w:val="center"/>
          </w:tcPr>
          <w:p w14:paraId="26F65DAC">
            <w:pPr>
              <w:pStyle w:val="155"/>
              <w:spacing w:before="0" w:beforeAutospacing="0" w:after="0" w:afterAutospacing="0" w:line="50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招 标 人：</w:t>
            </w:r>
            <w:r>
              <w:rPr>
                <w:rFonts w:hint="eastAsia" w:cs="宋体"/>
                <w:color w:val="auto"/>
                <w:highlight w:val="none"/>
                <w:lang w:eastAsia="zh-CN"/>
              </w:rPr>
              <w:t>中共三门峡市湖滨区委政法委员会</w:t>
            </w:r>
          </w:p>
          <w:p w14:paraId="26F3C210">
            <w:pPr>
              <w:pStyle w:val="155"/>
              <w:spacing w:before="0" w:beforeAutospacing="0" w:after="0" w:afterAutospacing="0" w:line="500" w:lineRule="exac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联 系 人：</w:t>
            </w:r>
            <w:r>
              <w:rPr>
                <w:rFonts w:hint="eastAsia" w:cs="宋体"/>
                <w:color w:val="auto"/>
                <w:highlight w:val="none"/>
                <w:lang w:val="en-US" w:eastAsia="zh-CN"/>
              </w:rPr>
              <w:t>苏先生</w:t>
            </w:r>
          </w:p>
          <w:p w14:paraId="7E4C5F1D">
            <w:pPr>
              <w:pStyle w:val="155"/>
              <w:spacing w:before="0" w:beforeAutospacing="0" w:after="0" w:afterAutospacing="0" w:line="500" w:lineRule="exact"/>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cs="宋体"/>
                <w:color w:val="auto"/>
                <w:highlight w:val="none"/>
                <w:lang w:val="en-US" w:eastAsia="zh-CN"/>
              </w:rPr>
              <w:t>18003988787</w:t>
            </w:r>
          </w:p>
        </w:tc>
      </w:tr>
      <w:tr w14:paraId="23E686A0">
        <w:tblPrEx>
          <w:tblCellMar>
            <w:top w:w="0" w:type="dxa"/>
            <w:left w:w="0" w:type="dxa"/>
            <w:bottom w:w="0" w:type="dxa"/>
            <w:right w:w="0" w:type="dxa"/>
          </w:tblCellMar>
        </w:tblPrEx>
        <w:trPr>
          <w:trHeight w:val="1533"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017468B2">
            <w:pPr>
              <w:autoSpaceDE w:val="0"/>
              <w:autoSpaceDN w:val="0"/>
              <w:adjustRightIn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1.1.</w:t>
            </w:r>
            <w:r>
              <w:rPr>
                <w:rFonts w:hint="eastAsia" w:ascii="宋体" w:hAnsi="宋体" w:cs="宋体"/>
                <w:color w:val="auto"/>
                <w:sz w:val="24"/>
                <w:highlight w:val="none"/>
                <w:lang w:val="en-US" w:eastAsia="zh-CN"/>
              </w:rPr>
              <w:t>2</w:t>
            </w:r>
          </w:p>
        </w:tc>
        <w:tc>
          <w:tcPr>
            <w:tcW w:w="2683" w:type="dxa"/>
            <w:tcBorders>
              <w:top w:val="single" w:color="000000" w:sz="4" w:space="0"/>
              <w:left w:val="single" w:color="000000" w:sz="4" w:space="0"/>
              <w:bottom w:val="single" w:color="000000" w:sz="4" w:space="0"/>
              <w:right w:val="single" w:color="000000" w:sz="4" w:space="0"/>
            </w:tcBorders>
            <w:vAlign w:val="center"/>
          </w:tcPr>
          <w:p w14:paraId="11148854">
            <w:pPr>
              <w:tabs>
                <w:tab w:val="left" w:pos="180"/>
              </w:tabs>
              <w:spacing w:line="48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采购代理机构</w:t>
            </w:r>
          </w:p>
        </w:tc>
        <w:tc>
          <w:tcPr>
            <w:tcW w:w="6601" w:type="dxa"/>
            <w:tcBorders>
              <w:top w:val="single" w:color="000000" w:sz="4" w:space="0"/>
              <w:left w:val="single" w:color="000000" w:sz="4" w:space="0"/>
              <w:bottom w:val="single" w:color="000000" w:sz="4" w:space="0"/>
              <w:right w:val="single" w:color="000000" w:sz="4" w:space="0"/>
            </w:tcBorders>
            <w:vAlign w:val="center"/>
          </w:tcPr>
          <w:p w14:paraId="3B7EA00F">
            <w:pPr>
              <w:pStyle w:val="155"/>
              <w:spacing w:before="0" w:beforeAutospacing="0" w:after="0" w:afterAutospacing="0" w:line="500" w:lineRule="exact"/>
              <w:rPr>
                <w:rFonts w:hint="eastAsia" w:ascii="宋体" w:hAnsi="宋体" w:eastAsia="宋体" w:cs="宋体"/>
                <w:color w:val="auto"/>
                <w:highlight w:val="none"/>
              </w:rPr>
            </w:pPr>
            <w:r>
              <w:rPr>
                <w:rFonts w:hint="eastAsia" w:cs="宋体"/>
                <w:color w:val="auto"/>
                <w:highlight w:val="none"/>
                <w:lang w:eastAsia="zh-CN"/>
              </w:rPr>
              <w:t>采购代理机构</w:t>
            </w:r>
            <w:r>
              <w:rPr>
                <w:rFonts w:hint="eastAsia" w:ascii="宋体" w:hAnsi="宋体" w:eastAsia="宋体" w:cs="宋体"/>
                <w:color w:val="auto"/>
                <w:highlight w:val="none"/>
              </w:rPr>
              <w:t>：河南恒泽顺工程管理有限公司</w:t>
            </w:r>
          </w:p>
          <w:p w14:paraId="3938D456">
            <w:pPr>
              <w:pStyle w:val="155"/>
              <w:spacing w:before="0" w:beforeAutospacing="0" w:after="0" w:afterAutospacing="0" w:line="500" w:lineRule="exact"/>
              <w:rPr>
                <w:rFonts w:hint="eastAsia" w:ascii="宋体" w:hAnsi="宋体" w:eastAsia="宋体" w:cs="宋体"/>
                <w:color w:val="auto"/>
                <w:highlight w:val="none"/>
              </w:rPr>
            </w:pPr>
            <w:r>
              <w:rPr>
                <w:rFonts w:hint="eastAsia" w:ascii="宋体" w:hAnsi="宋体" w:eastAsia="宋体" w:cs="宋体"/>
                <w:color w:val="auto"/>
                <w:highlight w:val="none"/>
              </w:rPr>
              <w:t>地    址:三门峡市工商联大厦B座1102室</w:t>
            </w:r>
          </w:p>
          <w:p w14:paraId="5146D84D">
            <w:pPr>
              <w:pStyle w:val="155"/>
              <w:spacing w:before="0" w:beforeAutospacing="0" w:after="0" w:afterAutospacing="0" w:line="500" w:lineRule="exact"/>
              <w:rPr>
                <w:rFonts w:hint="eastAsia" w:ascii="宋体" w:hAnsi="宋体" w:eastAsia="宋体" w:cs="宋体"/>
                <w:color w:val="auto"/>
                <w:highlight w:val="none"/>
              </w:rPr>
            </w:pPr>
            <w:r>
              <w:rPr>
                <w:rFonts w:hint="eastAsia" w:ascii="宋体" w:hAnsi="宋体" w:eastAsia="宋体" w:cs="宋体"/>
                <w:color w:val="auto"/>
                <w:highlight w:val="none"/>
              </w:rPr>
              <w:t>联 系 人：</w:t>
            </w:r>
            <w:r>
              <w:rPr>
                <w:rFonts w:hint="eastAsia" w:cs="宋体"/>
                <w:color w:val="auto"/>
                <w:highlight w:val="none"/>
                <w:lang w:val="en-US" w:eastAsia="zh-CN"/>
              </w:rPr>
              <w:t>任</w:t>
            </w:r>
            <w:r>
              <w:rPr>
                <w:rFonts w:hint="eastAsia" w:ascii="宋体" w:hAnsi="宋体" w:eastAsia="宋体" w:cs="宋体"/>
                <w:color w:val="auto"/>
                <w:highlight w:val="none"/>
              </w:rPr>
              <w:t>女士</w:t>
            </w:r>
          </w:p>
          <w:p w14:paraId="4BD2D36B">
            <w:pPr>
              <w:pStyle w:val="155"/>
              <w:spacing w:before="0" w:beforeAutospacing="0" w:after="0" w:afterAutospacing="0" w:line="50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电    话：</w:t>
            </w:r>
            <w:r>
              <w:rPr>
                <w:rFonts w:hint="eastAsia" w:ascii="宋体" w:hAnsi="宋体" w:eastAsia="宋体" w:cs="宋体"/>
                <w:color w:val="auto"/>
                <w:highlight w:val="none"/>
                <w:lang w:val="en-US" w:eastAsia="zh-CN"/>
              </w:rPr>
              <w:t>15539872617</w:t>
            </w:r>
          </w:p>
          <w:p w14:paraId="41FD9395">
            <w:pPr>
              <w:pStyle w:val="155"/>
              <w:spacing w:before="0" w:beforeAutospacing="0" w:after="0" w:afterAutospacing="0" w:line="500" w:lineRule="exact"/>
              <w:rPr>
                <w:rFonts w:hint="eastAsia" w:ascii="宋体" w:hAnsi="宋体" w:eastAsia="宋体" w:cs="宋体"/>
                <w:color w:val="auto"/>
                <w:highlight w:val="none"/>
              </w:rPr>
            </w:pPr>
            <w:r>
              <w:rPr>
                <w:rFonts w:hint="eastAsia" w:ascii="宋体" w:hAnsi="宋体" w:eastAsia="宋体" w:cs="宋体"/>
                <w:color w:val="auto"/>
                <w:highlight w:val="none"/>
              </w:rPr>
              <w:t>邮    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"mailto:henanhengzeshunzb@126.com"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henanhengzeshunzb@126.com</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 xml:space="preserve"> </w:t>
            </w:r>
          </w:p>
        </w:tc>
      </w:tr>
      <w:tr w14:paraId="3F682171">
        <w:tblPrEx>
          <w:tblCellMar>
            <w:top w:w="0" w:type="dxa"/>
            <w:left w:w="0" w:type="dxa"/>
            <w:bottom w:w="0" w:type="dxa"/>
            <w:right w:w="0" w:type="dxa"/>
          </w:tblCellMar>
        </w:tblPrEx>
        <w:trPr>
          <w:trHeight w:val="414"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1622E212">
            <w:pPr>
              <w:autoSpaceDE w:val="0"/>
              <w:autoSpaceDN w:val="0"/>
              <w:adjustRightIn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1.1.</w:t>
            </w:r>
            <w:r>
              <w:rPr>
                <w:rFonts w:hint="eastAsia" w:ascii="宋体" w:hAnsi="宋体" w:cs="宋体"/>
                <w:color w:val="auto"/>
                <w:sz w:val="24"/>
                <w:highlight w:val="none"/>
                <w:lang w:val="en-US" w:eastAsia="zh-CN"/>
              </w:rPr>
              <w:t>3</w:t>
            </w:r>
          </w:p>
        </w:tc>
        <w:tc>
          <w:tcPr>
            <w:tcW w:w="2683" w:type="dxa"/>
            <w:tcBorders>
              <w:top w:val="single" w:color="000000" w:sz="4" w:space="0"/>
              <w:left w:val="single" w:color="000000" w:sz="4" w:space="0"/>
              <w:bottom w:val="single" w:color="000000" w:sz="4" w:space="0"/>
              <w:right w:val="single" w:color="000000" w:sz="4" w:space="0"/>
            </w:tcBorders>
            <w:vAlign w:val="center"/>
          </w:tcPr>
          <w:p w14:paraId="52E0FF76">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601" w:type="dxa"/>
            <w:tcBorders>
              <w:top w:val="single" w:color="000000" w:sz="4" w:space="0"/>
              <w:left w:val="single" w:color="000000" w:sz="4" w:space="0"/>
              <w:bottom w:val="single" w:color="000000" w:sz="4" w:space="0"/>
              <w:right w:val="single" w:color="000000" w:sz="4" w:space="0"/>
            </w:tcBorders>
            <w:vAlign w:val="center"/>
          </w:tcPr>
          <w:p w14:paraId="6A6026DF">
            <w:pPr>
              <w:spacing w:line="360" w:lineRule="auto"/>
              <w:outlineLvl w:val="0"/>
              <w:rPr>
                <w:rFonts w:hint="eastAsia" w:ascii="宋体" w:hAnsi="宋体" w:eastAsia="宋体" w:cs="宋体"/>
                <w:b/>
                <w:color w:val="auto"/>
                <w:sz w:val="24"/>
                <w:highlight w:val="none"/>
                <w:lang w:eastAsia="zh-CN"/>
              </w:rPr>
            </w:pPr>
            <w:r>
              <w:rPr>
                <w:rFonts w:hint="eastAsia" w:ascii="宋体" w:hAnsi="宋体" w:cs="宋体"/>
                <w:bCs/>
                <w:color w:val="auto"/>
                <w:sz w:val="24"/>
                <w:highlight w:val="none"/>
                <w:lang w:eastAsia="zh-CN"/>
              </w:rPr>
              <w:t>湖滨区社会治安综合治理中心提升项目</w:t>
            </w:r>
          </w:p>
        </w:tc>
      </w:tr>
      <w:tr w14:paraId="7412FCD6">
        <w:tblPrEx>
          <w:tblCellMar>
            <w:top w:w="0" w:type="dxa"/>
            <w:left w:w="0" w:type="dxa"/>
            <w:bottom w:w="0" w:type="dxa"/>
            <w:right w:w="0" w:type="dxa"/>
          </w:tblCellMar>
        </w:tblPrEx>
        <w:trPr>
          <w:trHeight w:val="414"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5027A2EF">
            <w:pPr>
              <w:autoSpaceDE w:val="0"/>
              <w:autoSpaceDN w:val="0"/>
              <w:adjustRightIn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1.1.4</w:t>
            </w:r>
          </w:p>
        </w:tc>
        <w:tc>
          <w:tcPr>
            <w:tcW w:w="2683" w:type="dxa"/>
            <w:tcBorders>
              <w:top w:val="single" w:color="000000" w:sz="4" w:space="0"/>
              <w:left w:val="single" w:color="000000" w:sz="4" w:space="0"/>
              <w:bottom w:val="single" w:color="000000" w:sz="4" w:space="0"/>
              <w:right w:val="single" w:color="000000" w:sz="4" w:space="0"/>
            </w:tcBorders>
            <w:vAlign w:val="center"/>
          </w:tcPr>
          <w:p w14:paraId="2FBF7825">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建设内容及规模</w:t>
            </w:r>
          </w:p>
        </w:tc>
        <w:tc>
          <w:tcPr>
            <w:tcW w:w="6601" w:type="dxa"/>
            <w:tcBorders>
              <w:top w:val="single" w:color="000000" w:sz="4" w:space="0"/>
              <w:left w:val="single" w:color="000000" w:sz="4" w:space="0"/>
              <w:bottom w:val="single" w:color="000000" w:sz="4" w:space="0"/>
              <w:right w:val="single" w:color="000000" w:sz="4" w:space="0"/>
            </w:tcBorders>
            <w:vAlign w:val="center"/>
          </w:tcPr>
          <w:p w14:paraId="329AF296">
            <w:pPr>
              <w:spacing w:line="360" w:lineRule="auto"/>
              <w:outlineLvl w:val="0"/>
              <w:rPr>
                <w:rFonts w:hint="eastAsia" w:ascii="宋体" w:hAnsi="宋体" w:cs="宋体"/>
                <w:bCs/>
                <w:color w:val="auto"/>
                <w:sz w:val="24"/>
                <w:highlight w:val="none"/>
                <w:lang w:eastAsia="zh-CN"/>
              </w:rPr>
            </w:pPr>
            <w:r>
              <w:rPr>
                <w:rFonts w:hint="eastAsia" w:ascii="宋体" w:hAnsi="宋体" w:cs="宋体"/>
                <w:color w:val="auto"/>
                <w:sz w:val="24"/>
                <w:highlight w:val="none"/>
                <w:lang w:val="en-US" w:eastAsia="zh-CN"/>
              </w:rPr>
              <w:t>打造线上综治信息化平台暨集成“雪亮工程”平台智慧查控、补点建设和设施场所扩建，做到线上平台全区互联、全域智控、全时响应、全链贯通，“雪亮工程”全域覆盖、全网共享、全时可用、全程可控，新增简易法庭、调解室等。</w:t>
            </w:r>
          </w:p>
        </w:tc>
      </w:tr>
      <w:tr w14:paraId="3C9D65BC">
        <w:tblPrEx>
          <w:tblCellMar>
            <w:top w:w="0" w:type="dxa"/>
            <w:left w:w="0" w:type="dxa"/>
            <w:bottom w:w="0" w:type="dxa"/>
            <w:right w:w="0" w:type="dxa"/>
          </w:tblCellMar>
        </w:tblPrEx>
        <w:trPr>
          <w:trHeight w:val="540"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7C98CF64">
            <w:pPr>
              <w:autoSpaceDE w:val="0"/>
              <w:autoSpaceDN w:val="0"/>
              <w:adjustRightIn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1.1.</w:t>
            </w:r>
            <w:r>
              <w:rPr>
                <w:rFonts w:hint="eastAsia" w:ascii="宋体" w:hAnsi="宋体" w:cs="宋体"/>
                <w:color w:val="auto"/>
                <w:sz w:val="24"/>
                <w:highlight w:val="none"/>
                <w:lang w:val="en-US" w:eastAsia="zh-CN"/>
              </w:rPr>
              <w:t>5</w:t>
            </w:r>
          </w:p>
        </w:tc>
        <w:tc>
          <w:tcPr>
            <w:tcW w:w="2683" w:type="dxa"/>
            <w:tcBorders>
              <w:top w:val="single" w:color="000000" w:sz="4" w:space="0"/>
              <w:left w:val="single" w:color="000000" w:sz="4" w:space="0"/>
              <w:bottom w:val="single" w:color="000000" w:sz="4" w:space="0"/>
              <w:right w:val="single" w:color="000000" w:sz="4" w:space="0"/>
            </w:tcBorders>
            <w:vAlign w:val="center"/>
          </w:tcPr>
          <w:p w14:paraId="30D01446">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项目地点</w:t>
            </w:r>
          </w:p>
        </w:tc>
        <w:tc>
          <w:tcPr>
            <w:tcW w:w="6601" w:type="dxa"/>
            <w:tcBorders>
              <w:top w:val="single" w:color="000000" w:sz="4" w:space="0"/>
              <w:left w:val="single" w:color="000000" w:sz="4" w:space="0"/>
              <w:bottom w:val="single" w:color="000000" w:sz="4" w:space="0"/>
              <w:right w:val="single" w:color="000000" w:sz="4" w:space="0"/>
            </w:tcBorders>
            <w:vAlign w:val="center"/>
          </w:tcPr>
          <w:p w14:paraId="07B073E4">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湖滨区社会治安综合治理中心(原湖滨区林业局一、二楼)</w:t>
            </w:r>
          </w:p>
        </w:tc>
      </w:tr>
      <w:tr w14:paraId="57623620">
        <w:tblPrEx>
          <w:tblCellMar>
            <w:top w:w="0" w:type="dxa"/>
            <w:left w:w="0" w:type="dxa"/>
            <w:bottom w:w="0" w:type="dxa"/>
            <w:right w:w="0" w:type="dxa"/>
          </w:tblCellMar>
        </w:tblPrEx>
        <w:trPr>
          <w:trHeight w:val="90"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5EAD1448">
            <w:pPr>
              <w:autoSpaceDE w:val="0"/>
              <w:autoSpaceDN w:val="0"/>
              <w:adjustRightIn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1.1</w:t>
            </w:r>
            <w:r>
              <w:rPr>
                <w:rFonts w:hint="eastAsia" w:ascii="宋体" w:hAnsi="宋体" w:cs="宋体"/>
                <w:color w:val="auto"/>
                <w:sz w:val="24"/>
                <w:highlight w:val="none"/>
                <w:lang w:val="en-US" w:eastAsia="zh-CN"/>
              </w:rPr>
              <w:t>.6</w:t>
            </w:r>
          </w:p>
        </w:tc>
        <w:tc>
          <w:tcPr>
            <w:tcW w:w="2683" w:type="dxa"/>
            <w:tcBorders>
              <w:top w:val="single" w:color="000000" w:sz="4" w:space="0"/>
              <w:left w:val="single" w:color="000000" w:sz="4" w:space="0"/>
              <w:bottom w:val="single" w:color="000000" w:sz="4" w:space="0"/>
              <w:right w:val="single" w:color="000000" w:sz="4" w:space="0"/>
            </w:tcBorders>
            <w:vAlign w:val="center"/>
          </w:tcPr>
          <w:p w14:paraId="13BDB3F1">
            <w:pPr>
              <w:autoSpaceDE w:val="0"/>
              <w:autoSpaceDN w:val="0"/>
              <w:adjustRightIn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服务内容</w:t>
            </w:r>
          </w:p>
        </w:tc>
        <w:tc>
          <w:tcPr>
            <w:tcW w:w="6601" w:type="dxa"/>
            <w:tcBorders>
              <w:top w:val="single" w:color="000000" w:sz="4" w:space="0"/>
              <w:left w:val="single" w:color="000000" w:sz="4" w:space="0"/>
              <w:bottom w:val="single" w:color="000000" w:sz="4" w:space="0"/>
              <w:right w:val="single" w:color="000000" w:sz="4" w:space="0"/>
            </w:tcBorders>
            <w:vAlign w:val="center"/>
          </w:tcPr>
          <w:p w14:paraId="74B2A7A2">
            <w:pPr>
              <w:spacing w:line="360" w:lineRule="auto"/>
              <w:outlineLvl w:val="0"/>
              <w:rPr>
                <w:rFonts w:hint="eastAsia" w:ascii="宋体" w:hAnsi="宋体" w:eastAsia="宋体" w:cs="宋体"/>
                <w:bCs/>
                <w:color w:val="auto"/>
                <w:sz w:val="24"/>
                <w:highlight w:val="none"/>
                <w:lang w:eastAsia="zh-CN"/>
              </w:rPr>
            </w:pPr>
            <w:bookmarkStart w:id="109" w:name="_Toc258"/>
            <w:r>
              <w:rPr>
                <w:rFonts w:hint="eastAsia" w:ascii="宋体" w:hAnsi="宋体" w:cs="宋体"/>
                <w:color w:val="auto"/>
                <w:sz w:val="24"/>
                <w:highlight w:val="none"/>
                <w:lang w:val="en-US" w:eastAsia="zh-CN"/>
              </w:rPr>
              <w:t>本项目为湖滨区社会治安综合治理中心提升项目，主要内容包括：社会公共视频资源运营管理平台建设，社会公共视频资源监控补点建设服务及综治中心场所环境改造服务等；具体内容详见招标文件第五章服务内容及要求</w:t>
            </w:r>
            <w:r>
              <w:rPr>
                <w:rFonts w:hint="eastAsia" w:ascii="宋体" w:hAnsi="宋体" w:cs="宋体"/>
                <w:bCs/>
                <w:color w:val="auto"/>
                <w:sz w:val="24"/>
                <w:highlight w:val="none"/>
                <w:lang w:val="en-US" w:eastAsia="zh-CN"/>
              </w:rPr>
              <w:t>。</w:t>
            </w:r>
            <w:bookmarkEnd w:id="109"/>
          </w:p>
        </w:tc>
      </w:tr>
      <w:tr w14:paraId="68198F1A">
        <w:tblPrEx>
          <w:tblCellMar>
            <w:top w:w="0" w:type="dxa"/>
            <w:left w:w="0" w:type="dxa"/>
            <w:bottom w:w="0" w:type="dxa"/>
            <w:right w:w="0" w:type="dxa"/>
          </w:tblCellMar>
        </w:tblPrEx>
        <w:trPr>
          <w:trHeight w:val="90"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64CD9BC8">
            <w:pPr>
              <w:autoSpaceDE w:val="0"/>
              <w:autoSpaceDN w:val="0"/>
              <w:adjustRightIn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1.1.</w:t>
            </w:r>
            <w:r>
              <w:rPr>
                <w:rFonts w:hint="eastAsia" w:ascii="宋体" w:hAnsi="宋体" w:cs="宋体"/>
                <w:color w:val="auto"/>
                <w:sz w:val="24"/>
                <w:highlight w:val="none"/>
                <w:lang w:val="en-US" w:eastAsia="zh-CN"/>
              </w:rPr>
              <w:t>7</w:t>
            </w:r>
          </w:p>
        </w:tc>
        <w:tc>
          <w:tcPr>
            <w:tcW w:w="2683" w:type="dxa"/>
            <w:tcBorders>
              <w:top w:val="single" w:color="000000" w:sz="4" w:space="0"/>
              <w:left w:val="single" w:color="000000" w:sz="4" w:space="0"/>
              <w:bottom w:val="single" w:color="000000" w:sz="4" w:space="0"/>
              <w:right w:val="single" w:color="000000" w:sz="4" w:space="0"/>
            </w:tcBorders>
            <w:vAlign w:val="center"/>
          </w:tcPr>
          <w:p w14:paraId="3E5F70BE">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标段划分</w:t>
            </w:r>
          </w:p>
        </w:tc>
        <w:tc>
          <w:tcPr>
            <w:tcW w:w="6601" w:type="dxa"/>
            <w:tcBorders>
              <w:top w:val="single" w:color="000000" w:sz="4" w:space="0"/>
              <w:left w:val="single" w:color="000000" w:sz="4" w:space="0"/>
              <w:bottom w:val="single" w:color="000000" w:sz="4" w:space="0"/>
              <w:right w:val="single" w:color="000000" w:sz="4" w:space="0"/>
            </w:tcBorders>
            <w:vAlign w:val="center"/>
          </w:tcPr>
          <w:p w14:paraId="034AC308">
            <w:pPr>
              <w:spacing w:line="49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本项目不划分标段</w:t>
            </w:r>
            <w:r>
              <w:rPr>
                <w:rFonts w:hint="eastAsia" w:ascii="宋体" w:hAnsi="宋体" w:eastAsia="宋体" w:cs="宋体"/>
                <w:color w:val="auto"/>
                <w:sz w:val="24"/>
                <w:highlight w:val="none"/>
                <w:lang w:eastAsia="zh-CN"/>
              </w:rPr>
              <w:t>。</w:t>
            </w:r>
          </w:p>
        </w:tc>
      </w:tr>
      <w:tr w14:paraId="51FFD527">
        <w:tblPrEx>
          <w:tblCellMar>
            <w:top w:w="0" w:type="dxa"/>
            <w:left w:w="0" w:type="dxa"/>
            <w:bottom w:w="0" w:type="dxa"/>
            <w:right w:w="0" w:type="dxa"/>
          </w:tblCellMar>
        </w:tblPrEx>
        <w:trPr>
          <w:trHeight w:val="414"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77A65771">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w:t>
            </w:r>
          </w:p>
        </w:tc>
        <w:tc>
          <w:tcPr>
            <w:tcW w:w="2683" w:type="dxa"/>
            <w:tcBorders>
              <w:top w:val="single" w:color="000000" w:sz="4" w:space="0"/>
              <w:left w:val="single" w:color="000000" w:sz="4" w:space="0"/>
              <w:bottom w:val="single" w:color="000000" w:sz="4" w:space="0"/>
              <w:right w:val="single" w:color="000000" w:sz="4" w:space="0"/>
            </w:tcBorders>
            <w:vAlign w:val="center"/>
          </w:tcPr>
          <w:p w14:paraId="321C4A41">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资金来源及比例</w:t>
            </w:r>
          </w:p>
        </w:tc>
        <w:tc>
          <w:tcPr>
            <w:tcW w:w="6601" w:type="dxa"/>
            <w:tcBorders>
              <w:top w:val="single" w:color="000000" w:sz="4" w:space="0"/>
              <w:left w:val="single" w:color="000000" w:sz="4" w:space="0"/>
              <w:bottom w:val="single" w:color="000000" w:sz="4" w:space="0"/>
              <w:right w:val="single" w:color="000000" w:sz="4" w:space="0"/>
            </w:tcBorders>
            <w:vAlign w:val="center"/>
          </w:tcPr>
          <w:p w14:paraId="45904955">
            <w:pPr>
              <w:autoSpaceDE w:val="0"/>
              <w:autoSpaceDN w:val="0"/>
              <w:adjustRightInd w:val="0"/>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eastAsia="zh-CN"/>
              </w:rPr>
              <w:t>财政</w:t>
            </w:r>
            <w:r>
              <w:rPr>
                <w:rFonts w:hint="eastAsia" w:ascii="宋体" w:hAnsi="宋体" w:eastAsia="宋体" w:cs="宋体"/>
                <w:color w:val="auto"/>
                <w:kern w:val="0"/>
                <w:sz w:val="24"/>
                <w:highlight w:val="none"/>
              </w:rPr>
              <w:t>资金，100%</w:t>
            </w:r>
            <w:r>
              <w:rPr>
                <w:rFonts w:hint="eastAsia" w:ascii="宋体" w:hAnsi="宋体" w:eastAsia="宋体" w:cs="宋体"/>
                <w:color w:val="auto"/>
                <w:kern w:val="0"/>
                <w:sz w:val="24"/>
                <w:highlight w:val="none"/>
                <w:lang w:val="en-US" w:eastAsia="zh-CN"/>
              </w:rPr>
              <w:t>。</w:t>
            </w:r>
          </w:p>
        </w:tc>
      </w:tr>
      <w:tr w14:paraId="706E2DC4">
        <w:tblPrEx>
          <w:tblCellMar>
            <w:top w:w="0" w:type="dxa"/>
            <w:left w:w="0" w:type="dxa"/>
            <w:bottom w:w="0" w:type="dxa"/>
            <w:right w:w="0" w:type="dxa"/>
          </w:tblCellMar>
        </w:tblPrEx>
        <w:trPr>
          <w:trHeight w:val="414"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0BBCDF33">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p>
        </w:tc>
        <w:tc>
          <w:tcPr>
            <w:tcW w:w="2683" w:type="dxa"/>
            <w:tcBorders>
              <w:top w:val="single" w:color="000000" w:sz="4" w:space="0"/>
              <w:left w:val="single" w:color="000000" w:sz="4" w:space="0"/>
              <w:bottom w:val="single" w:color="000000" w:sz="4" w:space="0"/>
              <w:right w:val="single" w:color="000000" w:sz="4" w:space="0"/>
            </w:tcBorders>
            <w:vAlign w:val="center"/>
          </w:tcPr>
          <w:p w14:paraId="3E1D2348">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资金落实情况</w:t>
            </w:r>
          </w:p>
        </w:tc>
        <w:tc>
          <w:tcPr>
            <w:tcW w:w="6601" w:type="dxa"/>
            <w:tcBorders>
              <w:top w:val="single" w:color="000000" w:sz="4" w:space="0"/>
              <w:left w:val="single" w:color="000000" w:sz="4" w:space="0"/>
              <w:bottom w:val="single" w:color="000000" w:sz="4" w:space="0"/>
              <w:right w:val="single" w:color="000000" w:sz="4" w:space="0"/>
            </w:tcBorders>
            <w:vAlign w:val="center"/>
          </w:tcPr>
          <w:p w14:paraId="5B3D96AD">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已落实</w:t>
            </w:r>
            <w:r>
              <w:rPr>
                <w:rFonts w:hint="eastAsia" w:ascii="宋体" w:hAnsi="宋体" w:eastAsia="宋体" w:cs="宋体"/>
                <w:color w:val="auto"/>
                <w:sz w:val="24"/>
                <w:highlight w:val="none"/>
                <w:lang w:eastAsia="zh-CN"/>
              </w:rPr>
              <w:t>。</w:t>
            </w:r>
          </w:p>
        </w:tc>
      </w:tr>
      <w:tr w14:paraId="6CA5308E">
        <w:tblPrEx>
          <w:tblCellMar>
            <w:top w:w="0" w:type="dxa"/>
            <w:left w:w="0" w:type="dxa"/>
            <w:bottom w:w="0" w:type="dxa"/>
            <w:right w:w="0" w:type="dxa"/>
          </w:tblCellMar>
        </w:tblPrEx>
        <w:trPr>
          <w:trHeight w:val="414"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235DDFDB">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p>
        </w:tc>
        <w:tc>
          <w:tcPr>
            <w:tcW w:w="2683" w:type="dxa"/>
            <w:tcBorders>
              <w:top w:val="single" w:color="000000" w:sz="4" w:space="0"/>
              <w:left w:val="single" w:color="000000" w:sz="4" w:space="0"/>
              <w:bottom w:val="single" w:color="000000" w:sz="4" w:space="0"/>
              <w:right w:val="single" w:color="000000" w:sz="4" w:space="0"/>
            </w:tcBorders>
            <w:vAlign w:val="center"/>
          </w:tcPr>
          <w:p w14:paraId="6D473B09">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服务期</w:t>
            </w:r>
          </w:p>
        </w:tc>
        <w:tc>
          <w:tcPr>
            <w:tcW w:w="6601" w:type="dxa"/>
            <w:tcBorders>
              <w:top w:val="single" w:color="000000" w:sz="4" w:space="0"/>
              <w:left w:val="single" w:color="000000" w:sz="4" w:space="0"/>
              <w:bottom w:val="single" w:color="000000" w:sz="4" w:space="0"/>
              <w:right w:val="single" w:color="000000" w:sz="4" w:space="0"/>
            </w:tcBorders>
            <w:vAlign w:val="center"/>
          </w:tcPr>
          <w:p w14:paraId="0C0CD6FE">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三年。</w:t>
            </w:r>
          </w:p>
        </w:tc>
      </w:tr>
      <w:tr w14:paraId="5FE4AE04">
        <w:tblPrEx>
          <w:tblCellMar>
            <w:top w:w="0" w:type="dxa"/>
            <w:left w:w="0" w:type="dxa"/>
            <w:bottom w:w="0" w:type="dxa"/>
            <w:right w:w="0" w:type="dxa"/>
          </w:tblCellMar>
        </w:tblPrEx>
        <w:trPr>
          <w:trHeight w:val="90"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2C554A8F">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1.3.3</w:t>
            </w:r>
          </w:p>
        </w:tc>
        <w:tc>
          <w:tcPr>
            <w:tcW w:w="2683" w:type="dxa"/>
            <w:tcBorders>
              <w:top w:val="single" w:color="000000" w:sz="4" w:space="0"/>
              <w:left w:val="single" w:color="000000" w:sz="4" w:space="0"/>
              <w:bottom w:val="single" w:color="000000" w:sz="4" w:space="0"/>
              <w:right w:val="single" w:color="000000" w:sz="4" w:space="0"/>
            </w:tcBorders>
            <w:vAlign w:val="center"/>
          </w:tcPr>
          <w:p w14:paraId="4FD118AD">
            <w:pPr>
              <w:autoSpaceDE w:val="0"/>
              <w:autoSpaceDN w:val="0"/>
              <w:adjustRightIn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服务标准</w:t>
            </w:r>
          </w:p>
        </w:tc>
        <w:tc>
          <w:tcPr>
            <w:tcW w:w="6601" w:type="dxa"/>
            <w:tcBorders>
              <w:top w:val="single" w:color="000000" w:sz="4" w:space="0"/>
              <w:left w:val="single" w:color="000000" w:sz="4" w:space="0"/>
              <w:bottom w:val="single" w:color="000000" w:sz="4" w:space="0"/>
              <w:right w:val="single" w:color="000000" w:sz="4" w:space="0"/>
            </w:tcBorders>
            <w:vAlign w:val="center"/>
          </w:tcPr>
          <w:p w14:paraId="38EA327A">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符合国家或行业规定的合格标准，满足</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val="en-US" w:eastAsia="zh-CN"/>
              </w:rPr>
              <w:t>要求</w:t>
            </w:r>
            <w:r>
              <w:rPr>
                <w:rFonts w:hint="eastAsia" w:ascii="宋体" w:hAnsi="宋体" w:cs="宋体"/>
                <w:color w:val="auto"/>
                <w:sz w:val="24"/>
                <w:highlight w:val="none"/>
                <w:lang w:val="en-US" w:eastAsia="zh-CN"/>
              </w:rPr>
              <w:t>。</w:t>
            </w:r>
          </w:p>
        </w:tc>
      </w:tr>
      <w:tr w14:paraId="7D9A85C1">
        <w:tblPrEx>
          <w:tblCellMar>
            <w:top w:w="0" w:type="dxa"/>
            <w:left w:w="0" w:type="dxa"/>
            <w:bottom w:w="0" w:type="dxa"/>
            <w:right w:w="0" w:type="dxa"/>
          </w:tblCellMar>
        </w:tblPrEx>
        <w:trPr>
          <w:trHeight w:val="1051"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494E1F8A">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p>
        </w:tc>
        <w:tc>
          <w:tcPr>
            <w:tcW w:w="2683" w:type="dxa"/>
            <w:tcBorders>
              <w:top w:val="single" w:color="000000" w:sz="4" w:space="0"/>
              <w:left w:val="single" w:color="000000" w:sz="4" w:space="0"/>
              <w:bottom w:val="single" w:color="000000" w:sz="4" w:space="0"/>
              <w:right w:val="single" w:color="000000" w:sz="4" w:space="0"/>
            </w:tcBorders>
            <w:vAlign w:val="center"/>
          </w:tcPr>
          <w:p w14:paraId="415E73BA">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投标人资格要求</w:t>
            </w:r>
          </w:p>
        </w:tc>
        <w:tc>
          <w:tcPr>
            <w:tcW w:w="6601" w:type="dxa"/>
            <w:tcBorders>
              <w:top w:val="single" w:color="000000" w:sz="4" w:space="0"/>
              <w:left w:val="single" w:color="000000" w:sz="4" w:space="0"/>
              <w:bottom w:val="single" w:color="000000" w:sz="4" w:space="0"/>
              <w:right w:val="single" w:color="000000" w:sz="4" w:space="0"/>
            </w:tcBorders>
            <w:vAlign w:val="center"/>
          </w:tcPr>
          <w:p w14:paraId="1301AE5E">
            <w:pPr>
              <w:spacing w:line="360" w:lineRule="auto"/>
              <w:ind w:firstLine="480" w:firstLineChars="200"/>
              <w:rPr>
                <w:rFonts w:hint="default" w:ascii="宋体" w:hAnsi="宋体" w:eastAsia="宋体" w:cs="宋体"/>
                <w:b/>
                <w:bCs/>
                <w:color w:val="auto"/>
                <w:highlight w:val="none"/>
                <w:lang w:val="en-US"/>
              </w:rPr>
            </w:pPr>
            <w:r>
              <w:rPr>
                <w:rFonts w:hint="eastAsia" w:ascii="宋体" w:hAnsi="宋体" w:cs="宋体"/>
                <w:b w:val="0"/>
                <w:bCs w:val="0"/>
                <w:color w:val="auto"/>
                <w:sz w:val="24"/>
                <w:szCs w:val="28"/>
                <w:highlight w:val="none"/>
                <w:lang w:val="en-US" w:eastAsia="zh-CN"/>
              </w:rPr>
              <w:t>1.投标人须具有有效的营业执照</w:t>
            </w:r>
            <w:r>
              <w:rPr>
                <w:rFonts w:hint="eastAsia" w:ascii="宋体" w:hAnsi="宋体" w:cs="宋体"/>
                <w:b/>
                <w:bCs/>
                <w:color w:val="auto"/>
                <w:sz w:val="24"/>
                <w:szCs w:val="28"/>
                <w:highlight w:val="none"/>
                <w:lang w:val="en-US" w:eastAsia="zh-CN"/>
              </w:rPr>
              <w:t>（</w:t>
            </w:r>
            <w:r>
              <w:rPr>
                <w:rFonts w:ascii="宋体" w:hAnsi="宋体" w:cs="宋体"/>
                <w:b/>
                <w:bCs/>
                <w:color w:val="auto"/>
                <w:sz w:val="24"/>
                <w:highlight w:val="none"/>
              </w:rPr>
              <w:t>本项目允许</w:t>
            </w:r>
            <w:r>
              <w:rPr>
                <w:rFonts w:hint="eastAsia" w:ascii="宋体" w:hAnsi="宋体" w:cs="宋体"/>
                <w:b/>
                <w:bCs/>
                <w:color w:val="auto"/>
                <w:sz w:val="24"/>
                <w:highlight w:val="none"/>
                <w:lang w:val="en-US" w:eastAsia="zh-CN"/>
              </w:rPr>
              <w:t>分公司</w:t>
            </w:r>
            <w:r>
              <w:rPr>
                <w:rFonts w:ascii="宋体" w:hAnsi="宋体" w:cs="宋体"/>
                <w:b/>
                <w:bCs/>
                <w:color w:val="auto"/>
                <w:sz w:val="24"/>
                <w:highlight w:val="none"/>
              </w:rPr>
              <w:t>参与投标</w:t>
            </w:r>
            <w:r>
              <w:rPr>
                <w:rFonts w:hint="eastAsia" w:ascii="宋体" w:hAnsi="宋体" w:cs="宋体"/>
                <w:b/>
                <w:bCs/>
                <w:color w:val="auto"/>
                <w:sz w:val="24"/>
                <w:highlight w:val="none"/>
              </w:rPr>
              <w:t>,</w:t>
            </w:r>
            <w:r>
              <w:rPr>
                <w:rFonts w:ascii="宋体" w:hAnsi="宋体" w:cs="宋体"/>
                <w:b/>
                <w:bCs/>
                <w:color w:val="auto"/>
                <w:sz w:val="24"/>
                <w:highlight w:val="none"/>
              </w:rPr>
              <w:t>可使用其总公司的人员、资质、业绩等</w:t>
            </w:r>
            <w:r>
              <w:rPr>
                <w:rFonts w:hint="eastAsia" w:ascii="宋体" w:hAnsi="宋体" w:cs="宋体"/>
                <w:b/>
                <w:bCs/>
                <w:color w:val="auto"/>
                <w:sz w:val="24"/>
                <w:highlight w:val="none"/>
                <w:lang w:val="en-US" w:eastAsia="zh-CN"/>
              </w:rPr>
              <w:t>材料</w:t>
            </w:r>
            <w:r>
              <w:rPr>
                <w:rFonts w:ascii="宋体" w:hAnsi="宋体" w:cs="宋体"/>
                <w:b/>
                <w:bCs/>
                <w:color w:val="auto"/>
                <w:sz w:val="24"/>
                <w:highlight w:val="none"/>
              </w:rPr>
              <w:t>，</w:t>
            </w:r>
            <w:r>
              <w:rPr>
                <w:rFonts w:hint="eastAsia" w:ascii="宋体" w:hAnsi="宋体"/>
                <w:b/>
                <w:bCs/>
                <w:iCs/>
                <w:color w:val="auto"/>
                <w:sz w:val="24"/>
                <w:highlight w:val="none"/>
              </w:rPr>
              <w:t>须提供其具有独立法人资格的上级总(母)公司对其出具的有效授权</w:t>
            </w:r>
            <w:r>
              <w:rPr>
                <w:rFonts w:hint="eastAsia" w:ascii="宋体" w:hAnsi="宋体"/>
                <w:b/>
                <w:bCs/>
                <w:iCs/>
                <w:color w:val="auto"/>
                <w:sz w:val="24"/>
                <w:highlight w:val="none"/>
                <w:lang w:val="en-US" w:eastAsia="zh-CN"/>
              </w:rPr>
              <w:t>书</w:t>
            </w:r>
            <w:r>
              <w:rPr>
                <w:rFonts w:hint="eastAsia" w:ascii="宋体" w:hAnsi="宋体"/>
                <w:b/>
                <w:bCs/>
                <w:iCs/>
                <w:color w:val="auto"/>
                <w:sz w:val="24"/>
                <w:highlight w:val="none"/>
              </w:rPr>
              <w:t>。同一公司的不同分(子)公司,不得同时参加本项目投标</w:t>
            </w:r>
            <w:r>
              <w:rPr>
                <w:rFonts w:hint="eastAsia" w:ascii="宋体" w:hAnsi="宋体" w:cs="宋体"/>
                <w:b/>
                <w:bCs/>
                <w:color w:val="auto"/>
                <w:sz w:val="24"/>
                <w:szCs w:val="28"/>
                <w:highlight w:val="none"/>
                <w:lang w:val="en-US" w:eastAsia="zh-CN"/>
              </w:rPr>
              <w:t>）；</w:t>
            </w:r>
          </w:p>
          <w:p w14:paraId="5299508A">
            <w:pPr>
              <w:spacing w:line="49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2.投标人须自行出具本单位无商业贿赂及无不正当竞争行为的承诺书</w:t>
            </w:r>
            <w:r>
              <w:rPr>
                <w:rFonts w:hint="eastAsia" w:ascii="宋体" w:hAnsi="宋体" w:cs="宋体"/>
                <w:b w:val="0"/>
                <w:bCs w:val="0"/>
                <w:color w:val="auto"/>
                <w:sz w:val="24"/>
                <w:highlight w:val="none"/>
                <w:lang w:val="en-US" w:eastAsia="zh-CN"/>
              </w:rPr>
              <w:t>和参加政府采购活动前三年内在经营活动中没有重大违法记录承诺书</w:t>
            </w:r>
            <w:r>
              <w:rPr>
                <w:rFonts w:hint="eastAsia" w:ascii="宋体" w:hAnsi="宋体" w:eastAsia="宋体" w:cs="宋体"/>
                <w:b w:val="0"/>
                <w:bCs w:val="0"/>
                <w:color w:val="auto"/>
                <w:sz w:val="24"/>
                <w:highlight w:val="none"/>
                <w:lang w:val="en-US" w:eastAsia="zh-CN"/>
              </w:rPr>
              <w:t>；</w:t>
            </w:r>
          </w:p>
          <w:p w14:paraId="427E47C6">
            <w:pPr>
              <w:keepNext w:val="0"/>
              <w:keepLines w:val="0"/>
              <w:pageBreakBefore w:val="0"/>
              <w:widowControl w:val="0"/>
              <w:kinsoku/>
              <w:wordWrap w:val="0"/>
              <w:overflowPunct/>
              <w:topLinePunct w:val="0"/>
              <w:autoSpaceDE/>
              <w:autoSpaceDN/>
              <w:bidi w:val="0"/>
              <w:adjustRightInd/>
              <w:snapToGrid/>
              <w:spacing w:line="490" w:lineRule="exact"/>
              <w:ind w:firstLine="480"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lang w:val="en-US" w:eastAsia="zh-CN"/>
              </w:rPr>
              <w:t>3.根据</w:t>
            </w:r>
            <w:r>
              <w:rPr>
                <w:rFonts w:hint="eastAsia" w:ascii="宋体" w:hAnsi="宋体" w:eastAsia="宋体" w:cs="宋体"/>
                <w:b w:val="0"/>
                <w:bCs w:val="0"/>
                <w:color w:val="auto"/>
                <w:sz w:val="24"/>
                <w:highlight w:val="none"/>
                <w:lang w:val="en-US" w:eastAsia="zh-CN" w:bidi="ar"/>
              </w:rPr>
              <w:t>《</w:t>
            </w:r>
            <w:r>
              <w:rPr>
                <w:rFonts w:hint="eastAsia" w:ascii="宋体" w:hAnsi="宋体" w:eastAsia="宋体" w:cs="宋体"/>
                <w:color w:val="auto"/>
                <w:sz w:val="24"/>
                <w:highlight w:val="none"/>
                <w:lang w:val="en-US" w:eastAsia="zh-CN" w:bidi="ar"/>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color w:val="auto"/>
                <w:sz w:val="24"/>
                <w:highlight w:val="none"/>
                <w:lang w:val="en-US" w:eastAsia="zh-CN" w:bidi="ar"/>
              </w:rPr>
              <w:t>投标人</w:t>
            </w:r>
            <w:r>
              <w:rPr>
                <w:rFonts w:hint="eastAsia" w:ascii="宋体" w:hAnsi="宋体" w:eastAsia="宋体" w:cs="宋体"/>
                <w:color w:val="auto"/>
                <w:sz w:val="24"/>
                <w:highlight w:val="none"/>
                <w:lang w:val="en-US" w:eastAsia="zh-CN" w:bidi="ar"/>
              </w:rPr>
              <w:t>，拒绝参与本项目采购活动；</w:t>
            </w:r>
            <w:r>
              <w:rPr>
                <w:rFonts w:hint="eastAsia" w:ascii="宋体" w:hAnsi="宋体" w:cs="宋体"/>
                <w:color w:val="auto"/>
                <w:sz w:val="24"/>
                <w:highlight w:val="none"/>
                <w:lang w:val="en-US" w:eastAsia="zh-CN"/>
              </w:rPr>
              <w:t>查询渠道</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①</w:t>
            </w:r>
            <w:r>
              <w:rPr>
                <w:rFonts w:hint="eastAsia" w:ascii="宋体" w:hAnsi="宋体" w:cs="宋体"/>
                <w:color w:val="auto"/>
                <w:sz w:val="24"/>
                <w:highlight w:val="none"/>
                <w:lang w:val="en-US" w:eastAsia="zh-CN"/>
              </w:rPr>
              <w:t>中国执行信息公开网（</w:t>
            </w:r>
            <w:r>
              <w:rPr>
                <w:rFonts w:hint="eastAsia" w:asciiTheme="minorEastAsia" w:hAnsiTheme="minorEastAsia" w:eastAsiaTheme="minorEastAsia" w:cstheme="minorEastAsia"/>
                <w:color w:val="auto"/>
                <w:sz w:val="24"/>
                <w:szCs w:val="24"/>
                <w:highlight w:val="none"/>
                <w:lang w:val="en-US" w:eastAsia="zh-CN"/>
              </w:rPr>
              <w:t>https://zxgk.court.gov.cn/shixin</w:t>
            </w:r>
            <w:r>
              <w:rPr>
                <w:rFonts w:hint="eastAsia" w:ascii="宋体" w:hAnsi="宋体" w:cs="宋体"/>
                <w:color w:val="auto"/>
                <w:sz w:val="24"/>
                <w:highlight w:val="none"/>
                <w:lang w:val="en-US" w:eastAsia="zh-CN"/>
              </w:rPr>
              <w:t>）查询内容：失信被执行人</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②</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信用中国”网站（</w:t>
            </w:r>
            <w:r>
              <w:rPr>
                <w:rFonts w:hint="eastAsia" w:asciiTheme="minorEastAsia" w:hAnsiTheme="minorEastAsia" w:eastAsiaTheme="minorEastAsia" w:cstheme="minorEastAsia"/>
                <w:color w:val="auto"/>
                <w:sz w:val="24"/>
                <w:szCs w:val="24"/>
                <w:highlight w:val="none"/>
                <w:lang w:val="en-US" w:eastAsia="zh-CN"/>
              </w:rPr>
              <w:t>https://www.creditchina.gov.cn/zhuanxiangchaxun/</w:t>
            </w:r>
            <w:r>
              <w:rPr>
                <w:rFonts w:hint="eastAsia" w:ascii="宋体" w:hAnsi="宋体" w:cs="宋体"/>
                <w:color w:val="auto"/>
                <w:sz w:val="24"/>
                <w:highlight w:val="none"/>
                <w:lang w:val="en-US" w:eastAsia="zh-CN"/>
              </w:rPr>
              <w:t>），查询内容：重大税收违法失信主体；</w:t>
            </w:r>
            <w:r>
              <w:rPr>
                <w:rFonts w:hint="default" w:ascii="宋体" w:hAnsi="宋体" w:eastAsia="宋体" w:cs="宋体"/>
                <w:color w:val="auto"/>
                <w:sz w:val="24"/>
                <w:highlight w:val="none"/>
                <w:lang w:val="en-US" w:eastAsia="zh-CN"/>
              </w:rPr>
              <w:t>③</w:t>
            </w:r>
            <w:r>
              <w:rPr>
                <w:rFonts w:hint="eastAsia" w:ascii="宋体" w:hAnsi="宋体" w:eastAsia="宋体" w:cs="宋体"/>
                <w:color w:val="auto"/>
                <w:sz w:val="24"/>
                <w:highlight w:val="none"/>
                <w:lang w:val="en-US" w:eastAsia="zh-CN"/>
              </w:rPr>
              <w:t>中</w:t>
            </w:r>
            <w:r>
              <w:rPr>
                <w:rFonts w:hint="eastAsia" w:ascii="宋体" w:hAnsi="宋体" w:cs="宋体"/>
                <w:color w:val="auto"/>
                <w:sz w:val="24"/>
                <w:highlight w:val="none"/>
                <w:lang w:val="en-US" w:eastAsia="zh-CN"/>
              </w:rPr>
              <w:t>国政府采购网（</w:t>
            </w:r>
            <w:r>
              <w:rPr>
                <w:rFonts w:hint="eastAsia" w:asciiTheme="minorEastAsia" w:hAnsiTheme="minorEastAsia" w:eastAsiaTheme="minorEastAsia" w:cstheme="minorEastAsia"/>
                <w:color w:val="auto"/>
                <w:sz w:val="24"/>
                <w:szCs w:val="24"/>
                <w:highlight w:val="none"/>
                <w:lang w:val="en-US" w:eastAsia="zh-CN"/>
              </w:rPr>
              <w:t>www.ccgp.gov.cn</w:t>
            </w:r>
            <w:r>
              <w:rPr>
                <w:rFonts w:hint="eastAsia" w:ascii="宋体" w:hAnsi="宋体" w:cs="宋体"/>
                <w:color w:val="auto"/>
                <w:sz w:val="24"/>
                <w:highlight w:val="none"/>
                <w:lang w:val="en-US" w:eastAsia="zh-CN"/>
              </w:rPr>
              <w:t>）查询内容：政府采购严重违法失信行为记录名单。投标人须提供中国执行信息公开网查询页、信用中国查询页、中国政府采购网查询页的</w:t>
            </w:r>
            <w:r>
              <w:rPr>
                <w:rFonts w:hint="eastAsia" w:ascii="宋体" w:hAnsi="宋体" w:cs="宋体"/>
                <w:b/>
                <w:bCs/>
                <w:color w:val="auto"/>
                <w:sz w:val="24"/>
                <w:highlight w:val="none"/>
                <w:lang w:val="en-US" w:eastAsia="zh-CN"/>
              </w:rPr>
              <w:t>查询结果截图</w:t>
            </w:r>
            <w:r>
              <w:rPr>
                <w:rFonts w:hint="eastAsia" w:ascii="宋体" w:hAnsi="宋体"/>
                <w:color w:val="auto"/>
                <w:sz w:val="24"/>
                <w:szCs w:val="24"/>
                <w:highlight w:val="none"/>
                <w:u w:color="000000"/>
              </w:rPr>
              <w:t>，</w:t>
            </w:r>
            <w:r>
              <w:rPr>
                <w:rFonts w:hint="eastAsia" w:ascii="宋体" w:hAnsi="宋体"/>
                <w:b/>
                <w:bCs/>
                <w:color w:val="auto"/>
                <w:sz w:val="24"/>
                <w:szCs w:val="24"/>
                <w:highlight w:val="none"/>
                <w:u w:color="000000"/>
              </w:rPr>
              <w:t>查询日期为本公告发布之日起，网站截图应含有日期</w:t>
            </w:r>
            <w:r>
              <w:rPr>
                <w:rFonts w:hint="eastAsia" w:ascii="宋体" w:hAnsi="宋体" w:eastAsia="宋体" w:cs="宋体"/>
                <w:b/>
                <w:bCs/>
                <w:color w:val="auto"/>
                <w:sz w:val="24"/>
                <w:szCs w:val="24"/>
                <w:highlight w:val="none"/>
                <w:lang w:val="en-US" w:eastAsia="zh-CN"/>
              </w:rPr>
              <w:t>且显示查询结果</w:t>
            </w:r>
            <w:r>
              <w:rPr>
                <w:rFonts w:hint="eastAsia" w:ascii="宋体" w:hAnsi="宋体" w:eastAsia="宋体" w:cs="宋体"/>
                <w:b/>
                <w:bCs/>
                <w:color w:val="auto"/>
                <w:sz w:val="24"/>
                <w:highlight w:val="none"/>
                <w:lang w:val="en-US" w:eastAsia="zh-CN"/>
              </w:rPr>
              <w:t>；</w:t>
            </w:r>
          </w:p>
          <w:p w14:paraId="6A748A43">
            <w:pPr>
              <w:spacing w:line="490" w:lineRule="exact"/>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4.本次采购不接受联合体</w:t>
            </w:r>
            <w:r>
              <w:rPr>
                <w:rFonts w:hint="eastAsia" w:ascii="宋体" w:hAnsi="宋体" w:cs="宋体"/>
                <w:b w:val="0"/>
                <w:bCs w:val="0"/>
                <w:color w:val="auto"/>
                <w:sz w:val="24"/>
                <w:highlight w:val="none"/>
                <w:lang w:val="en-US" w:eastAsia="zh-CN"/>
              </w:rPr>
              <w:t>投标</w:t>
            </w:r>
            <w:r>
              <w:rPr>
                <w:rFonts w:hint="eastAsia" w:ascii="宋体" w:hAnsi="宋体" w:eastAsia="宋体" w:cs="宋体"/>
                <w:b w:val="0"/>
                <w:bCs w:val="0"/>
                <w:color w:val="auto"/>
                <w:sz w:val="24"/>
                <w:highlight w:val="none"/>
                <w:lang w:val="en-US" w:eastAsia="zh-CN"/>
              </w:rPr>
              <w:t>，</w:t>
            </w:r>
            <w:r>
              <w:rPr>
                <w:rFonts w:hint="eastAsia" w:ascii="宋体" w:hAnsi="宋体" w:cs="宋体"/>
                <w:b w:val="0"/>
                <w:bCs w:val="0"/>
                <w:color w:val="auto"/>
                <w:sz w:val="24"/>
                <w:highlight w:val="none"/>
                <w:lang w:val="en-US" w:eastAsia="zh-CN"/>
              </w:rPr>
              <w:t>投标人</w:t>
            </w:r>
            <w:r>
              <w:rPr>
                <w:rFonts w:hint="eastAsia" w:ascii="宋体" w:hAnsi="宋体" w:eastAsia="宋体" w:cs="宋体"/>
                <w:b w:val="0"/>
                <w:bCs w:val="0"/>
                <w:color w:val="auto"/>
                <w:sz w:val="24"/>
                <w:highlight w:val="none"/>
                <w:lang w:val="en-US" w:eastAsia="zh-CN"/>
              </w:rPr>
              <w:t>需提供非联合体承诺书（承诺书格式自拟）；</w:t>
            </w:r>
          </w:p>
          <w:p w14:paraId="556F7642">
            <w:pPr>
              <w:spacing w:line="49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b w:val="0"/>
                <w:bCs w:val="0"/>
                <w:color w:val="auto"/>
                <w:sz w:val="24"/>
                <w:highlight w:val="none"/>
                <w:lang w:val="en-US" w:eastAsia="zh-CN"/>
              </w:rPr>
              <w:t>5.本项目实行资格后审，资格审查的具体要求见</w:t>
            </w:r>
            <w:r>
              <w:rPr>
                <w:rFonts w:hint="eastAsia" w:ascii="宋体" w:hAnsi="宋体" w:cs="宋体"/>
                <w:b w:val="0"/>
                <w:bCs w:val="0"/>
                <w:color w:val="auto"/>
                <w:sz w:val="24"/>
                <w:highlight w:val="none"/>
                <w:lang w:val="en-US" w:eastAsia="zh-CN"/>
              </w:rPr>
              <w:t>招标</w:t>
            </w:r>
            <w:r>
              <w:rPr>
                <w:rFonts w:hint="eastAsia" w:ascii="宋体" w:hAnsi="宋体" w:eastAsia="宋体" w:cs="宋体"/>
                <w:b w:val="0"/>
                <w:bCs w:val="0"/>
                <w:color w:val="auto"/>
                <w:sz w:val="24"/>
                <w:highlight w:val="none"/>
                <w:lang w:val="en-US" w:eastAsia="zh-CN"/>
              </w:rPr>
              <w:t>文件。</w:t>
            </w:r>
          </w:p>
        </w:tc>
      </w:tr>
      <w:tr w14:paraId="5691ABF7">
        <w:tblPrEx>
          <w:tblCellMar>
            <w:top w:w="0" w:type="dxa"/>
            <w:left w:w="0" w:type="dxa"/>
            <w:bottom w:w="0" w:type="dxa"/>
            <w:right w:w="0" w:type="dxa"/>
          </w:tblCellMar>
        </w:tblPrEx>
        <w:trPr>
          <w:trHeight w:val="611"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552A8AAD">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1.4.2</w:t>
            </w:r>
          </w:p>
        </w:tc>
        <w:tc>
          <w:tcPr>
            <w:tcW w:w="2683" w:type="dxa"/>
            <w:tcBorders>
              <w:top w:val="single" w:color="000000" w:sz="4" w:space="0"/>
              <w:left w:val="single" w:color="000000" w:sz="4" w:space="0"/>
              <w:bottom w:val="single" w:color="000000" w:sz="4" w:space="0"/>
              <w:right w:val="single" w:color="000000" w:sz="4" w:space="0"/>
            </w:tcBorders>
            <w:vAlign w:val="center"/>
          </w:tcPr>
          <w:p w14:paraId="41B3E969">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是否接受联合体投标</w:t>
            </w:r>
          </w:p>
        </w:tc>
        <w:tc>
          <w:tcPr>
            <w:tcW w:w="6601" w:type="dxa"/>
            <w:tcBorders>
              <w:top w:val="single" w:color="000000" w:sz="4" w:space="0"/>
              <w:left w:val="single" w:color="000000" w:sz="4" w:space="0"/>
              <w:bottom w:val="single" w:color="000000" w:sz="4" w:space="0"/>
              <w:right w:val="single" w:color="000000" w:sz="4" w:space="0"/>
            </w:tcBorders>
            <w:vAlign w:val="center"/>
          </w:tcPr>
          <w:p w14:paraId="0372E5D0">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不</w:t>
            </w:r>
            <w:r>
              <w:rPr>
                <w:rFonts w:hint="eastAsia" w:ascii="宋体" w:hAnsi="宋体" w:eastAsia="宋体" w:cs="宋体"/>
                <w:color w:val="auto"/>
                <w:sz w:val="24"/>
                <w:highlight w:val="none"/>
              </w:rPr>
              <w:t>接受</w:t>
            </w:r>
            <w:r>
              <w:rPr>
                <w:rFonts w:hint="eastAsia" w:ascii="宋体" w:hAnsi="宋体" w:cs="宋体"/>
                <w:color w:val="auto"/>
                <w:sz w:val="24"/>
                <w:highlight w:val="none"/>
                <w:lang w:eastAsia="zh-CN"/>
              </w:rPr>
              <w:t>。</w:t>
            </w:r>
          </w:p>
        </w:tc>
      </w:tr>
      <w:tr w14:paraId="42B23237">
        <w:tblPrEx>
          <w:tblCellMar>
            <w:top w:w="0" w:type="dxa"/>
            <w:left w:w="0" w:type="dxa"/>
            <w:bottom w:w="0" w:type="dxa"/>
            <w:right w:w="0" w:type="dxa"/>
          </w:tblCellMar>
        </w:tblPrEx>
        <w:trPr>
          <w:trHeight w:val="388"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53E6D170">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1.9.1</w:t>
            </w:r>
          </w:p>
        </w:tc>
        <w:tc>
          <w:tcPr>
            <w:tcW w:w="2683" w:type="dxa"/>
            <w:tcBorders>
              <w:top w:val="single" w:color="000000" w:sz="4" w:space="0"/>
              <w:left w:val="single" w:color="000000" w:sz="4" w:space="0"/>
              <w:bottom w:val="single" w:color="000000" w:sz="4" w:space="0"/>
              <w:right w:val="single" w:color="000000" w:sz="4" w:space="0"/>
            </w:tcBorders>
            <w:vAlign w:val="center"/>
          </w:tcPr>
          <w:p w14:paraId="3ED6561B">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踏勘现场</w:t>
            </w:r>
          </w:p>
        </w:tc>
        <w:tc>
          <w:tcPr>
            <w:tcW w:w="6601" w:type="dxa"/>
            <w:tcBorders>
              <w:top w:val="single" w:color="000000" w:sz="4" w:space="0"/>
              <w:left w:val="single" w:color="000000" w:sz="4" w:space="0"/>
              <w:bottom w:val="single" w:color="000000" w:sz="4" w:space="0"/>
              <w:right w:val="single" w:color="000000" w:sz="4" w:space="0"/>
            </w:tcBorders>
            <w:vAlign w:val="center"/>
          </w:tcPr>
          <w:p w14:paraId="0B58C968">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不组织。</w:t>
            </w:r>
          </w:p>
        </w:tc>
      </w:tr>
      <w:tr w14:paraId="4F808311">
        <w:tblPrEx>
          <w:tblCellMar>
            <w:top w:w="0" w:type="dxa"/>
            <w:left w:w="0" w:type="dxa"/>
            <w:bottom w:w="0" w:type="dxa"/>
            <w:right w:w="0" w:type="dxa"/>
          </w:tblCellMar>
        </w:tblPrEx>
        <w:trPr>
          <w:trHeight w:val="90"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329D8CD8">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1.10.1</w:t>
            </w:r>
          </w:p>
        </w:tc>
        <w:tc>
          <w:tcPr>
            <w:tcW w:w="2683" w:type="dxa"/>
            <w:tcBorders>
              <w:top w:val="single" w:color="000000" w:sz="4" w:space="0"/>
              <w:left w:val="single" w:color="000000" w:sz="4" w:space="0"/>
              <w:bottom w:val="single" w:color="000000" w:sz="4" w:space="0"/>
              <w:right w:val="single" w:color="000000" w:sz="4" w:space="0"/>
            </w:tcBorders>
            <w:vAlign w:val="center"/>
          </w:tcPr>
          <w:p w14:paraId="33A38508">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投标预备会</w:t>
            </w:r>
          </w:p>
        </w:tc>
        <w:tc>
          <w:tcPr>
            <w:tcW w:w="6601" w:type="dxa"/>
            <w:tcBorders>
              <w:top w:val="single" w:color="000000" w:sz="4" w:space="0"/>
              <w:left w:val="single" w:color="000000" w:sz="4" w:space="0"/>
              <w:bottom w:val="single" w:color="000000" w:sz="4" w:space="0"/>
              <w:right w:val="single" w:color="000000" w:sz="4" w:space="0"/>
            </w:tcBorders>
            <w:vAlign w:val="center"/>
          </w:tcPr>
          <w:p w14:paraId="6099A414">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不召开</w:t>
            </w:r>
            <w:r>
              <w:rPr>
                <w:rFonts w:hint="eastAsia" w:ascii="宋体" w:hAnsi="宋体" w:cs="宋体"/>
                <w:color w:val="auto"/>
                <w:sz w:val="24"/>
                <w:highlight w:val="none"/>
                <w:lang w:eastAsia="zh-CN"/>
              </w:rPr>
              <w:t>。</w:t>
            </w:r>
          </w:p>
        </w:tc>
      </w:tr>
      <w:tr w14:paraId="3C390B56">
        <w:tblPrEx>
          <w:tblCellMar>
            <w:top w:w="0" w:type="dxa"/>
            <w:left w:w="0" w:type="dxa"/>
            <w:bottom w:w="0" w:type="dxa"/>
            <w:right w:w="0" w:type="dxa"/>
          </w:tblCellMar>
        </w:tblPrEx>
        <w:trPr>
          <w:trHeight w:val="292"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53443A12">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1.10.3</w:t>
            </w:r>
          </w:p>
        </w:tc>
        <w:tc>
          <w:tcPr>
            <w:tcW w:w="2683" w:type="dxa"/>
            <w:tcBorders>
              <w:top w:val="single" w:color="000000" w:sz="4" w:space="0"/>
              <w:left w:val="single" w:color="000000" w:sz="4" w:space="0"/>
              <w:bottom w:val="single" w:color="000000" w:sz="4" w:space="0"/>
              <w:right w:val="single" w:color="000000" w:sz="4" w:space="0"/>
            </w:tcBorders>
            <w:vAlign w:val="center"/>
          </w:tcPr>
          <w:p w14:paraId="203F7A63">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澄清的时间</w:t>
            </w:r>
          </w:p>
        </w:tc>
        <w:tc>
          <w:tcPr>
            <w:tcW w:w="6601" w:type="dxa"/>
            <w:tcBorders>
              <w:top w:val="single" w:color="000000" w:sz="4" w:space="0"/>
              <w:left w:val="single" w:color="000000" w:sz="4" w:space="0"/>
              <w:bottom w:val="single" w:color="000000" w:sz="4" w:space="0"/>
              <w:right w:val="single" w:color="000000" w:sz="4" w:space="0"/>
            </w:tcBorders>
            <w:vAlign w:val="center"/>
          </w:tcPr>
          <w:p w14:paraId="0385595B">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招标文件规定的投标截止时间15天前</w:t>
            </w:r>
            <w:r>
              <w:rPr>
                <w:rFonts w:hint="eastAsia" w:ascii="宋体" w:hAnsi="宋体" w:cs="宋体"/>
                <w:color w:val="auto"/>
                <w:sz w:val="24"/>
                <w:highlight w:val="none"/>
                <w:lang w:eastAsia="zh-CN"/>
              </w:rPr>
              <w:t>。</w:t>
            </w:r>
          </w:p>
        </w:tc>
      </w:tr>
      <w:tr w14:paraId="734C3794">
        <w:tblPrEx>
          <w:tblCellMar>
            <w:top w:w="0" w:type="dxa"/>
            <w:left w:w="0" w:type="dxa"/>
            <w:bottom w:w="0" w:type="dxa"/>
            <w:right w:w="0" w:type="dxa"/>
          </w:tblCellMar>
        </w:tblPrEx>
        <w:trPr>
          <w:trHeight w:val="352"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1152CEEC">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1.12.1</w:t>
            </w:r>
          </w:p>
        </w:tc>
        <w:tc>
          <w:tcPr>
            <w:tcW w:w="2683" w:type="dxa"/>
            <w:tcBorders>
              <w:top w:val="single" w:color="000000" w:sz="4" w:space="0"/>
              <w:left w:val="single" w:color="000000" w:sz="4" w:space="0"/>
              <w:bottom w:val="single" w:color="000000" w:sz="4" w:space="0"/>
              <w:right w:val="single" w:color="000000" w:sz="4" w:space="0"/>
            </w:tcBorders>
            <w:vAlign w:val="center"/>
          </w:tcPr>
          <w:p w14:paraId="7E2EC259">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实质性要求和条件</w:t>
            </w:r>
          </w:p>
        </w:tc>
        <w:tc>
          <w:tcPr>
            <w:tcW w:w="6601" w:type="dxa"/>
            <w:tcBorders>
              <w:top w:val="single" w:color="000000" w:sz="4" w:space="0"/>
              <w:left w:val="single" w:color="000000" w:sz="4" w:space="0"/>
              <w:bottom w:val="single" w:color="000000" w:sz="4" w:space="0"/>
              <w:right w:val="single" w:color="000000" w:sz="4" w:space="0"/>
            </w:tcBorders>
            <w:vAlign w:val="center"/>
          </w:tcPr>
          <w:p w14:paraId="045FEEDA">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投标文件应当对招标文件的实质性要求和条件作出满足性或更有利于</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的响应，否则，投标人的投标将被否决。</w:t>
            </w:r>
          </w:p>
        </w:tc>
      </w:tr>
      <w:tr w14:paraId="774381B8">
        <w:tblPrEx>
          <w:tblCellMar>
            <w:top w:w="0" w:type="dxa"/>
            <w:left w:w="0" w:type="dxa"/>
            <w:bottom w:w="0" w:type="dxa"/>
            <w:right w:w="0" w:type="dxa"/>
          </w:tblCellMar>
        </w:tblPrEx>
        <w:trPr>
          <w:trHeight w:val="352"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65A319DC">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1.12.3</w:t>
            </w:r>
          </w:p>
        </w:tc>
        <w:tc>
          <w:tcPr>
            <w:tcW w:w="2683" w:type="dxa"/>
            <w:tcBorders>
              <w:top w:val="single" w:color="000000" w:sz="4" w:space="0"/>
              <w:left w:val="single" w:color="000000" w:sz="4" w:space="0"/>
              <w:bottom w:val="single" w:color="000000" w:sz="4" w:space="0"/>
              <w:right w:val="single" w:color="000000" w:sz="4" w:space="0"/>
            </w:tcBorders>
            <w:vAlign w:val="center"/>
          </w:tcPr>
          <w:p w14:paraId="16DA8257">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w:t>
            </w:r>
          </w:p>
        </w:tc>
        <w:tc>
          <w:tcPr>
            <w:tcW w:w="6601" w:type="dxa"/>
            <w:tcBorders>
              <w:top w:val="single" w:color="000000" w:sz="4" w:space="0"/>
              <w:left w:val="single" w:color="000000" w:sz="4" w:space="0"/>
              <w:bottom w:val="single" w:color="000000" w:sz="4" w:space="0"/>
              <w:right w:val="single" w:color="000000" w:sz="4" w:space="0"/>
            </w:tcBorders>
            <w:vAlign w:val="center"/>
          </w:tcPr>
          <w:p w14:paraId="07286D7C">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不允许</w:t>
            </w:r>
            <w:r>
              <w:rPr>
                <w:rFonts w:hint="eastAsia" w:ascii="宋体" w:hAnsi="宋体" w:cs="宋体"/>
                <w:color w:val="auto"/>
                <w:sz w:val="24"/>
                <w:highlight w:val="none"/>
                <w:lang w:eastAsia="zh-CN"/>
              </w:rPr>
              <w:t>。</w:t>
            </w:r>
          </w:p>
        </w:tc>
      </w:tr>
      <w:tr w14:paraId="6ED4BC2E">
        <w:tblPrEx>
          <w:tblCellMar>
            <w:top w:w="0" w:type="dxa"/>
            <w:left w:w="0" w:type="dxa"/>
            <w:bottom w:w="0" w:type="dxa"/>
            <w:right w:w="0" w:type="dxa"/>
          </w:tblCellMar>
        </w:tblPrEx>
        <w:trPr>
          <w:trHeight w:val="352"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778A1750">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2683" w:type="dxa"/>
            <w:tcBorders>
              <w:top w:val="single" w:color="000000" w:sz="4" w:space="0"/>
              <w:left w:val="single" w:color="000000" w:sz="4" w:space="0"/>
              <w:bottom w:val="single" w:color="000000" w:sz="4" w:space="0"/>
              <w:right w:val="single" w:color="000000" w:sz="4" w:space="0"/>
            </w:tcBorders>
            <w:vAlign w:val="center"/>
          </w:tcPr>
          <w:p w14:paraId="1401F4D8">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构成招标文件的其他材料</w:t>
            </w:r>
          </w:p>
        </w:tc>
        <w:tc>
          <w:tcPr>
            <w:tcW w:w="6601" w:type="dxa"/>
            <w:tcBorders>
              <w:top w:val="single" w:color="000000" w:sz="4" w:space="0"/>
              <w:left w:val="single" w:color="000000" w:sz="4" w:space="0"/>
              <w:bottom w:val="single" w:color="000000" w:sz="4" w:space="0"/>
              <w:right w:val="single" w:color="000000" w:sz="4" w:space="0"/>
            </w:tcBorders>
            <w:vAlign w:val="center"/>
          </w:tcPr>
          <w:p w14:paraId="2E565D10">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招标文件的修改、澄清、招标文件的补充文件（如有）、</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控制价等。</w:t>
            </w:r>
          </w:p>
        </w:tc>
      </w:tr>
      <w:tr w14:paraId="2346BF1E">
        <w:tblPrEx>
          <w:tblCellMar>
            <w:top w:w="0" w:type="dxa"/>
            <w:left w:w="0" w:type="dxa"/>
            <w:bottom w:w="0" w:type="dxa"/>
            <w:right w:w="0" w:type="dxa"/>
          </w:tblCellMar>
        </w:tblPrEx>
        <w:trPr>
          <w:trHeight w:val="307" w:hRule="atLeast"/>
          <w:jc w:val="center"/>
        </w:trPr>
        <w:tc>
          <w:tcPr>
            <w:tcW w:w="904" w:type="dxa"/>
            <w:tcBorders>
              <w:top w:val="single" w:color="000000" w:sz="4" w:space="0"/>
              <w:left w:val="single" w:color="000000" w:sz="4" w:space="0"/>
              <w:right w:val="single" w:color="000000" w:sz="4" w:space="0"/>
            </w:tcBorders>
            <w:vAlign w:val="center"/>
          </w:tcPr>
          <w:p w14:paraId="5F1520CC">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2.2.1</w:t>
            </w:r>
          </w:p>
        </w:tc>
        <w:tc>
          <w:tcPr>
            <w:tcW w:w="2683" w:type="dxa"/>
            <w:tcBorders>
              <w:top w:val="single" w:color="000000" w:sz="4" w:space="0"/>
              <w:left w:val="single" w:color="000000" w:sz="4" w:space="0"/>
              <w:right w:val="single" w:color="000000" w:sz="4" w:space="0"/>
            </w:tcBorders>
            <w:vAlign w:val="center"/>
          </w:tcPr>
          <w:p w14:paraId="45FD5313">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投标人对招标文件提出疑问的截止时间</w:t>
            </w:r>
          </w:p>
        </w:tc>
        <w:tc>
          <w:tcPr>
            <w:tcW w:w="6601" w:type="dxa"/>
            <w:tcBorders>
              <w:top w:val="single" w:color="000000" w:sz="4" w:space="0"/>
              <w:left w:val="single" w:color="000000" w:sz="4" w:space="0"/>
              <w:bottom w:val="single" w:color="000000" w:sz="4" w:space="0"/>
              <w:right w:val="single" w:color="000000" w:sz="4" w:space="0"/>
            </w:tcBorders>
            <w:vAlign w:val="center"/>
          </w:tcPr>
          <w:p w14:paraId="147413BF">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递交投标文件的截止之日 10 日前</w:t>
            </w:r>
            <w:r>
              <w:rPr>
                <w:rFonts w:hint="eastAsia" w:ascii="宋体" w:hAnsi="宋体" w:cs="宋体"/>
                <w:color w:val="auto"/>
                <w:kern w:val="0"/>
                <w:sz w:val="24"/>
                <w:highlight w:val="none"/>
                <w:lang w:eastAsia="zh-CN"/>
              </w:rPr>
              <w:t>。</w:t>
            </w:r>
          </w:p>
        </w:tc>
      </w:tr>
      <w:tr w14:paraId="392E8B60">
        <w:tblPrEx>
          <w:tblCellMar>
            <w:top w:w="0" w:type="dxa"/>
            <w:left w:w="0" w:type="dxa"/>
            <w:bottom w:w="0" w:type="dxa"/>
            <w:right w:w="0" w:type="dxa"/>
          </w:tblCellMar>
        </w:tblPrEx>
        <w:trPr>
          <w:trHeight w:val="384"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40C4C969">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p>
        </w:tc>
        <w:tc>
          <w:tcPr>
            <w:tcW w:w="2683" w:type="dxa"/>
            <w:tcBorders>
              <w:top w:val="single" w:color="000000" w:sz="4" w:space="0"/>
              <w:left w:val="single" w:color="000000" w:sz="4" w:space="0"/>
              <w:bottom w:val="single" w:color="000000" w:sz="4" w:space="0"/>
              <w:right w:val="single" w:color="000000" w:sz="4" w:space="0"/>
            </w:tcBorders>
            <w:vAlign w:val="center"/>
          </w:tcPr>
          <w:p w14:paraId="2C71D7C9">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招标文件澄清发出的形式</w:t>
            </w:r>
          </w:p>
        </w:tc>
        <w:tc>
          <w:tcPr>
            <w:tcW w:w="6601" w:type="dxa"/>
            <w:tcBorders>
              <w:top w:val="single" w:color="000000" w:sz="4" w:space="0"/>
              <w:left w:val="single" w:color="000000" w:sz="4" w:space="0"/>
              <w:bottom w:val="single" w:color="000000" w:sz="4" w:space="0"/>
              <w:right w:val="single" w:color="000000" w:sz="4" w:space="0"/>
            </w:tcBorders>
            <w:vAlign w:val="center"/>
          </w:tcPr>
          <w:p w14:paraId="25C9EEF8">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将需要解答的内容以答疑文件形式，在三门峡市公共资源交易中心网站项目网上答疑栏统一回复给潜在投标人。所有潜在投标人应密切关注三门峡市公共资源交易中心网站，自行查收、下载。</w:t>
            </w:r>
          </w:p>
        </w:tc>
      </w:tr>
      <w:tr w14:paraId="7BF2563A">
        <w:tblPrEx>
          <w:tblCellMar>
            <w:top w:w="0" w:type="dxa"/>
            <w:left w:w="0" w:type="dxa"/>
            <w:bottom w:w="0" w:type="dxa"/>
            <w:right w:w="0" w:type="dxa"/>
          </w:tblCellMar>
        </w:tblPrEx>
        <w:trPr>
          <w:trHeight w:val="628"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52AF008E">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p>
        </w:tc>
        <w:tc>
          <w:tcPr>
            <w:tcW w:w="2683" w:type="dxa"/>
            <w:tcBorders>
              <w:top w:val="single" w:color="auto" w:sz="4" w:space="0"/>
              <w:left w:val="single" w:color="auto" w:sz="4" w:space="0"/>
              <w:bottom w:val="single" w:color="auto" w:sz="4" w:space="0"/>
              <w:right w:val="single" w:color="auto" w:sz="4" w:space="0"/>
            </w:tcBorders>
            <w:vAlign w:val="center"/>
          </w:tcPr>
          <w:p w14:paraId="02CB973D">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招标文件修改发出的形式</w:t>
            </w:r>
          </w:p>
        </w:tc>
        <w:tc>
          <w:tcPr>
            <w:tcW w:w="6601" w:type="dxa"/>
            <w:tcBorders>
              <w:top w:val="single" w:color="auto" w:sz="4" w:space="0"/>
              <w:left w:val="single" w:color="auto" w:sz="4" w:space="0"/>
              <w:bottom w:val="single" w:color="auto" w:sz="4" w:space="0"/>
              <w:right w:val="single" w:color="auto" w:sz="4" w:space="0"/>
            </w:tcBorders>
            <w:vAlign w:val="center"/>
          </w:tcPr>
          <w:p w14:paraId="094D67D8">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在三门峡市公共资源交易中心等网站发布变更公告</w:t>
            </w:r>
            <w:r>
              <w:rPr>
                <w:rFonts w:hint="eastAsia" w:ascii="宋体" w:hAnsi="宋体" w:cs="宋体"/>
                <w:color w:val="auto"/>
                <w:sz w:val="24"/>
                <w:highlight w:val="none"/>
                <w:lang w:eastAsia="zh-CN"/>
              </w:rPr>
              <w:t>。</w:t>
            </w:r>
          </w:p>
        </w:tc>
      </w:tr>
      <w:tr w14:paraId="16EABCFD">
        <w:tblPrEx>
          <w:tblCellMar>
            <w:top w:w="0" w:type="dxa"/>
            <w:left w:w="0" w:type="dxa"/>
            <w:bottom w:w="0" w:type="dxa"/>
            <w:right w:w="0" w:type="dxa"/>
          </w:tblCellMar>
        </w:tblPrEx>
        <w:trPr>
          <w:trHeight w:val="342" w:hRule="atLeast"/>
          <w:jc w:val="center"/>
        </w:trPr>
        <w:tc>
          <w:tcPr>
            <w:tcW w:w="904" w:type="dxa"/>
            <w:tcBorders>
              <w:top w:val="single" w:color="auto" w:sz="4" w:space="0"/>
              <w:left w:val="single" w:color="auto" w:sz="4" w:space="0"/>
              <w:bottom w:val="single" w:color="auto" w:sz="4" w:space="0"/>
              <w:right w:val="single" w:color="auto" w:sz="4" w:space="0"/>
            </w:tcBorders>
            <w:vAlign w:val="center"/>
          </w:tcPr>
          <w:p w14:paraId="3B1AE3B4">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2683" w:type="dxa"/>
            <w:tcBorders>
              <w:top w:val="single" w:color="auto" w:sz="4" w:space="0"/>
              <w:left w:val="single" w:color="auto" w:sz="4" w:space="0"/>
              <w:bottom w:val="single" w:color="auto" w:sz="4" w:space="0"/>
              <w:right w:val="single" w:color="auto" w:sz="4" w:space="0"/>
            </w:tcBorders>
            <w:vAlign w:val="center"/>
          </w:tcPr>
          <w:p w14:paraId="6ADA31CA">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投标人确认收到招标文件修改</w:t>
            </w:r>
          </w:p>
        </w:tc>
        <w:tc>
          <w:tcPr>
            <w:tcW w:w="6601" w:type="dxa"/>
            <w:tcBorders>
              <w:top w:val="single" w:color="auto" w:sz="4" w:space="0"/>
              <w:left w:val="single" w:color="auto" w:sz="4" w:space="0"/>
              <w:bottom w:val="single" w:color="auto" w:sz="4" w:space="0"/>
              <w:right w:val="single" w:color="auto" w:sz="4" w:space="0"/>
            </w:tcBorders>
            <w:vAlign w:val="center"/>
          </w:tcPr>
          <w:p w14:paraId="65CEF99D">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所有潜在投标人应密切关注三门峡市公共资源交易中心网站，自行查收、下载变更资料。</w:t>
            </w:r>
          </w:p>
        </w:tc>
      </w:tr>
      <w:tr w14:paraId="00A49C04">
        <w:tblPrEx>
          <w:tblCellMar>
            <w:top w:w="0" w:type="dxa"/>
            <w:left w:w="0" w:type="dxa"/>
            <w:bottom w:w="0" w:type="dxa"/>
            <w:right w:w="0" w:type="dxa"/>
          </w:tblCellMar>
        </w:tblPrEx>
        <w:trPr>
          <w:trHeight w:val="694"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68CEAEAC">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p>
        </w:tc>
        <w:tc>
          <w:tcPr>
            <w:tcW w:w="2683" w:type="dxa"/>
            <w:tcBorders>
              <w:top w:val="single" w:color="000000" w:sz="4" w:space="0"/>
              <w:left w:val="single" w:color="000000" w:sz="4" w:space="0"/>
              <w:bottom w:val="single" w:color="000000" w:sz="4" w:space="0"/>
              <w:right w:val="single" w:color="000000" w:sz="4" w:space="0"/>
            </w:tcBorders>
            <w:vAlign w:val="center"/>
          </w:tcPr>
          <w:p w14:paraId="6F24FCE7">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构成投标文件的其它资料</w:t>
            </w:r>
          </w:p>
        </w:tc>
        <w:tc>
          <w:tcPr>
            <w:tcW w:w="6601" w:type="dxa"/>
            <w:tcBorders>
              <w:top w:val="single" w:color="000000" w:sz="4" w:space="0"/>
              <w:left w:val="single" w:color="000000" w:sz="4" w:space="0"/>
              <w:bottom w:val="single" w:color="000000" w:sz="4" w:space="0"/>
              <w:right w:val="single" w:color="000000" w:sz="4" w:space="0"/>
            </w:tcBorders>
            <w:vAlign w:val="center"/>
          </w:tcPr>
          <w:p w14:paraId="34E117C3">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投标文件中须附有投标人须知前附表1.4.1款和第三章评标办法中所需证件、证明的扫描件</w:t>
            </w:r>
            <w:r>
              <w:rPr>
                <w:rFonts w:hint="eastAsia" w:ascii="宋体" w:hAnsi="宋体" w:cs="宋体"/>
                <w:color w:val="auto"/>
                <w:sz w:val="24"/>
                <w:highlight w:val="none"/>
                <w:lang w:eastAsia="zh-CN"/>
              </w:rPr>
              <w:t>。</w:t>
            </w:r>
          </w:p>
        </w:tc>
      </w:tr>
      <w:tr w14:paraId="10F78B13">
        <w:tblPrEx>
          <w:tblCellMar>
            <w:top w:w="0" w:type="dxa"/>
            <w:left w:w="0" w:type="dxa"/>
            <w:bottom w:w="0" w:type="dxa"/>
            <w:right w:w="0" w:type="dxa"/>
          </w:tblCellMar>
        </w:tblPrEx>
        <w:trPr>
          <w:trHeight w:val="423"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12681C7D">
            <w:pPr>
              <w:autoSpaceDE w:val="0"/>
              <w:autoSpaceDN w:val="0"/>
              <w:adjustRightIn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3.2</w:t>
            </w:r>
          </w:p>
        </w:tc>
        <w:tc>
          <w:tcPr>
            <w:tcW w:w="2683" w:type="dxa"/>
            <w:tcBorders>
              <w:top w:val="single" w:color="000000" w:sz="4" w:space="0"/>
              <w:left w:val="single" w:color="000000" w:sz="4" w:space="0"/>
              <w:bottom w:val="single" w:color="000000" w:sz="4" w:space="0"/>
              <w:right w:val="single" w:color="000000" w:sz="4" w:space="0"/>
            </w:tcBorders>
            <w:vAlign w:val="center"/>
          </w:tcPr>
          <w:p w14:paraId="37E2D528">
            <w:pPr>
              <w:autoSpaceDE w:val="0"/>
              <w:autoSpaceDN w:val="0"/>
              <w:adjustRightIn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投标报价规定</w:t>
            </w:r>
          </w:p>
        </w:tc>
        <w:tc>
          <w:tcPr>
            <w:tcW w:w="6601" w:type="dxa"/>
            <w:tcBorders>
              <w:top w:val="single" w:color="000000" w:sz="4" w:space="0"/>
              <w:left w:val="single" w:color="000000" w:sz="4" w:space="0"/>
              <w:bottom w:val="single" w:color="000000" w:sz="4" w:space="0"/>
              <w:right w:val="single" w:color="000000" w:sz="4" w:space="0"/>
            </w:tcBorders>
            <w:vAlign w:val="center"/>
          </w:tcPr>
          <w:p w14:paraId="65BE61AA">
            <w:pPr>
              <w:autoSpaceDE w:val="0"/>
              <w:autoSpaceDN w:val="0"/>
              <w:adjustRightInd w:val="0"/>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报价方式：总价报价。</w:t>
            </w:r>
          </w:p>
          <w:p w14:paraId="380BBDEC">
            <w:pPr>
              <w:autoSpaceDE w:val="0"/>
              <w:autoSpaceDN w:val="0"/>
              <w:adjustRightInd w:val="0"/>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投标报价应包含完项目所需要的全部费用。</w:t>
            </w:r>
          </w:p>
        </w:tc>
      </w:tr>
      <w:tr w14:paraId="58D09225">
        <w:tblPrEx>
          <w:tblCellMar>
            <w:top w:w="0" w:type="dxa"/>
            <w:left w:w="0" w:type="dxa"/>
            <w:bottom w:w="0" w:type="dxa"/>
            <w:right w:w="0" w:type="dxa"/>
          </w:tblCellMar>
        </w:tblPrEx>
        <w:trPr>
          <w:trHeight w:val="423"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4106EC6C">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p>
        </w:tc>
        <w:tc>
          <w:tcPr>
            <w:tcW w:w="2683" w:type="dxa"/>
            <w:tcBorders>
              <w:top w:val="single" w:color="000000" w:sz="4" w:space="0"/>
              <w:left w:val="single" w:color="000000" w:sz="4" w:space="0"/>
              <w:bottom w:val="single" w:color="000000" w:sz="4" w:space="0"/>
              <w:right w:val="single" w:color="000000" w:sz="4" w:space="0"/>
            </w:tcBorders>
            <w:vAlign w:val="center"/>
          </w:tcPr>
          <w:p w14:paraId="4E27B13F">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6601" w:type="dxa"/>
            <w:tcBorders>
              <w:top w:val="single" w:color="000000" w:sz="4" w:space="0"/>
              <w:left w:val="single" w:color="000000" w:sz="4" w:space="0"/>
              <w:bottom w:val="single" w:color="000000" w:sz="4" w:space="0"/>
              <w:right w:val="single" w:color="000000" w:sz="4" w:space="0"/>
            </w:tcBorders>
            <w:vAlign w:val="center"/>
          </w:tcPr>
          <w:p w14:paraId="594C3DCA">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60</w:t>
            </w:r>
            <w:r>
              <w:rPr>
                <w:rFonts w:hint="eastAsia" w:ascii="宋体" w:hAnsi="宋体" w:eastAsia="宋体" w:cs="宋体"/>
                <w:color w:val="auto"/>
                <w:sz w:val="24"/>
                <w:highlight w:val="none"/>
              </w:rPr>
              <w:t>日历天（从投标截止之日算起）</w:t>
            </w:r>
            <w:r>
              <w:rPr>
                <w:rFonts w:hint="eastAsia" w:ascii="宋体" w:hAnsi="宋体" w:cs="宋体"/>
                <w:color w:val="auto"/>
                <w:sz w:val="24"/>
                <w:highlight w:val="none"/>
                <w:lang w:eastAsia="zh-CN"/>
              </w:rPr>
              <w:t>。</w:t>
            </w:r>
          </w:p>
        </w:tc>
      </w:tr>
      <w:tr w14:paraId="1AB54A7A">
        <w:tblPrEx>
          <w:tblCellMar>
            <w:top w:w="0" w:type="dxa"/>
            <w:left w:w="0" w:type="dxa"/>
            <w:bottom w:w="0" w:type="dxa"/>
            <w:right w:w="0" w:type="dxa"/>
          </w:tblCellMar>
        </w:tblPrEx>
        <w:trPr>
          <w:trHeight w:val="751"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0F622376">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3.4.1</w:t>
            </w:r>
          </w:p>
        </w:tc>
        <w:tc>
          <w:tcPr>
            <w:tcW w:w="2683" w:type="dxa"/>
            <w:tcBorders>
              <w:top w:val="single" w:color="000000" w:sz="4" w:space="0"/>
              <w:left w:val="single" w:color="000000" w:sz="4" w:space="0"/>
              <w:bottom w:val="single" w:color="000000" w:sz="4" w:space="0"/>
              <w:right w:val="single" w:color="000000" w:sz="4" w:space="0"/>
            </w:tcBorders>
            <w:vAlign w:val="center"/>
          </w:tcPr>
          <w:p w14:paraId="5BA06D30">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6601" w:type="dxa"/>
            <w:tcBorders>
              <w:top w:val="single" w:color="000000" w:sz="4" w:space="0"/>
              <w:left w:val="single" w:color="000000" w:sz="4" w:space="0"/>
              <w:bottom w:val="single" w:color="000000" w:sz="4" w:space="0"/>
              <w:right w:val="single" w:color="000000" w:sz="4" w:space="0"/>
            </w:tcBorders>
            <w:vAlign w:val="center"/>
          </w:tcPr>
          <w:p w14:paraId="3651D844">
            <w:pPr>
              <w:pStyle w:val="155"/>
              <w:spacing w:before="0" w:beforeAutospacing="0" w:after="0" w:afterAutospacing="0" w:line="360" w:lineRule="auto"/>
              <w:rPr>
                <w:rFonts w:hint="eastAsia" w:ascii="宋体" w:hAnsi="宋体" w:eastAsia="宋体" w:cs="宋体"/>
                <w:color w:val="auto"/>
                <w:highlight w:val="none"/>
                <w:lang w:eastAsia="zh-CN"/>
              </w:rPr>
            </w:pPr>
            <w:r>
              <w:rPr>
                <w:rFonts w:hint="eastAsia" w:cs="宋体"/>
                <w:color w:val="auto"/>
                <w:highlight w:val="none"/>
                <w:lang w:val="en-US" w:eastAsia="zh-CN"/>
              </w:rPr>
              <w:t>不收取。</w:t>
            </w:r>
          </w:p>
        </w:tc>
      </w:tr>
      <w:tr w14:paraId="1750ED6A">
        <w:tblPrEx>
          <w:tblCellMar>
            <w:top w:w="0" w:type="dxa"/>
            <w:left w:w="0" w:type="dxa"/>
            <w:bottom w:w="0" w:type="dxa"/>
            <w:right w:w="0" w:type="dxa"/>
          </w:tblCellMar>
        </w:tblPrEx>
        <w:trPr>
          <w:trHeight w:val="542"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3005DABD">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3.6.1</w:t>
            </w:r>
          </w:p>
        </w:tc>
        <w:tc>
          <w:tcPr>
            <w:tcW w:w="2683" w:type="dxa"/>
            <w:tcBorders>
              <w:top w:val="single" w:color="000000" w:sz="4" w:space="0"/>
              <w:left w:val="single" w:color="000000" w:sz="4" w:space="0"/>
              <w:bottom w:val="single" w:color="000000" w:sz="4" w:space="0"/>
              <w:right w:val="single" w:color="000000" w:sz="4" w:space="0"/>
            </w:tcBorders>
            <w:vAlign w:val="center"/>
          </w:tcPr>
          <w:p w14:paraId="0E10F30C">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是否允许递交备选投标方案</w:t>
            </w:r>
          </w:p>
        </w:tc>
        <w:tc>
          <w:tcPr>
            <w:tcW w:w="6601" w:type="dxa"/>
            <w:tcBorders>
              <w:top w:val="single" w:color="000000" w:sz="4" w:space="0"/>
              <w:left w:val="single" w:color="000000" w:sz="4" w:space="0"/>
              <w:bottom w:val="single" w:color="000000" w:sz="4" w:space="0"/>
              <w:right w:val="single" w:color="000000" w:sz="4" w:space="0"/>
            </w:tcBorders>
            <w:vAlign w:val="center"/>
          </w:tcPr>
          <w:p w14:paraId="402A05AE">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不允许</w:t>
            </w:r>
            <w:r>
              <w:rPr>
                <w:rFonts w:hint="eastAsia" w:ascii="宋体" w:hAnsi="宋体" w:cs="宋体"/>
                <w:color w:val="auto"/>
                <w:sz w:val="24"/>
                <w:highlight w:val="none"/>
                <w:lang w:eastAsia="zh-CN"/>
              </w:rPr>
              <w:t>。</w:t>
            </w:r>
          </w:p>
        </w:tc>
      </w:tr>
      <w:tr w14:paraId="27D4B816">
        <w:tblPrEx>
          <w:tblCellMar>
            <w:top w:w="0" w:type="dxa"/>
            <w:left w:w="0" w:type="dxa"/>
            <w:bottom w:w="0" w:type="dxa"/>
            <w:right w:w="0" w:type="dxa"/>
          </w:tblCellMar>
        </w:tblPrEx>
        <w:trPr>
          <w:trHeight w:val="1035"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418AB0C9">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3.7.3 </w:t>
            </w:r>
          </w:p>
        </w:tc>
        <w:tc>
          <w:tcPr>
            <w:tcW w:w="2683" w:type="dxa"/>
            <w:tcBorders>
              <w:top w:val="single" w:color="000000" w:sz="4" w:space="0"/>
              <w:left w:val="single" w:color="000000" w:sz="4" w:space="0"/>
              <w:bottom w:val="single" w:color="000000" w:sz="4" w:space="0"/>
              <w:right w:val="single" w:color="000000" w:sz="4" w:space="0"/>
            </w:tcBorders>
            <w:vAlign w:val="center"/>
          </w:tcPr>
          <w:p w14:paraId="654792E2">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投标文件签字或盖章要求</w:t>
            </w:r>
          </w:p>
        </w:tc>
        <w:tc>
          <w:tcPr>
            <w:tcW w:w="6601" w:type="dxa"/>
            <w:tcBorders>
              <w:top w:val="single" w:color="000000" w:sz="4" w:space="0"/>
              <w:left w:val="single" w:color="000000" w:sz="4" w:space="0"/>
              <w:bottom w:val="single" w:color="000000" w:sz="4" w:space="0"/>
              <w:right w:val="single" w:color="000000" w:sz="4" w:space="0"/>
            </w:tcBorders>
            <w:vAlign w:val="center"/>
          </w:tcPr>
          <w:p w14:paraId="6232AE4B">
            <w:pPr>
              <w:autoSpaceDE w:val="0"/>
              <w:autoSpaceDN w:val="0"/>
              <w:adjustRightInd w:val="0"/>
              <w:spacing w:line="360" w:lineRule="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投标人在进行电子化投标文件签章时，招标文件中要求投标人盖章的，以签盖单位章为准；要求法定代表人签章的，以签盖法定代表人签章为准。</w:t>
            </w:r>
          </w:p>
          <w:p w14:paraId="05DE298E">
            <w:pPr>
              <w:autoSpaceDE w:val="0"/>
              <w:autoSpaceDN w:val="0"/>
              <w:adjustRightInd w:val="0"/>
              <w:spacing w:line="360" w:lineRule="auto"/>
              <w:rPr>
                <w:rFonts w:hint="eastAsia" w:ascii="宋体" w:hAnsi="宋体" w:eastAsia="宋体" w:cs="Times New Roman"/>
                <w:color w:val="auto"/>
                <w:sz w:val="24"/>
                <w:szCs w:val="24"/>
                <w:highlight w:val="none"/>
              </w:rPr>
            </w:pPr>
            <w:r>
              <w:rPr>
                <w:rFonts w:hint="eastAsia" w:ascii="宋体" w:hAnsi="宋体" w:eastAsia="宋体" w:cs="宋体"/>
                <w:b/>
                <w:bCs/>
                <w:color w:val="auto"/>
                <w:kern w:val="0"/>
                <w:sz w:val="24"/>
                <w:highlight w:val="none"/>
                <w:lang w:val="en-US" w:eastAsia="zh-CN"/>
              </w:rPr>
              <w:t>如是分公司企业参与投标的，则“法定代表人”即为分支机构负责人，</w:t>
            </w:r>
            <w:r>
              <w:rPr>
                <w:rFonts w:hint="eastAsia" w:ascii="宋体" w:hAnsi="宋体" w:cs="宋体"/>
                <w:b/>
                <w:bCs/>
                <w:color w:val="auto"/>
                <w:kern w:val="0"/>
                <w:sz w:val="24"/>
                <w:highlight w:val="none"/>
                <w:lang w:val="en-US" w:eastAsia="zh-CN"/>
              </w:rPr>
              <w:t>签字盖章均以负责人牵头。</w:t>
            </w:r>
          </w:p>
          <w:p w14:paraId="07D824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所上传的电子化投标文件，应是通过中心投标文件制作系统制作的，经过签章和加密后生成的电子版投标文件。其中包含用于投标文件上传的主文件（后缀为.smxtf）和用于应急补救的投标文件备份文件（后缀为.nsmxtf）。</w:t>
            </w:r>
          </w:p>
          <w:p w14:paraId="112593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2、电子化投标文件应在投标截止时间前成功上传至三门峡市公共资源电子化交易系统。至投标截止时间止，仍未上传成功的电子化投标文件将不予接收。</w:t>
            </w:r>
          </w:p>
          <w:p w14:paraId="62B6D6A8">
            <w:pPr>
              <w:autoSpaceDE w:val="0"/>
              <w:autoSpaceDN w:val="0"/>
              <w:adjustRightIn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tc>
      </w:tr>
      <w:tr w14:paraId="442CEF0C">
        <w:tblPrEx>
          <w:tblCellMar>
            <w:top w:w="0" w:type="dxa"/>
            <w:left w:w="0" w:type="dxa"/>
            <w:bottom w:w="0" w:type="dxa"/>
            <w:right w:w="0" w:type="dxa"/>
          </w:tblCellMar>
        </w:tblPrEx>
        <w:trPr>
          <w:trHeight w:val="487"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2AE467A4">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3.7.4</w:t>
            </w:r>
          </w:p>
        </w:tc>
        <w:tc>
          <w:tcPr>
            <w:tcW w:w="2683" w:type="dxa"/>
            <w:tcBorders>
              <w:top w:val="single" w:color="000000" w:sz="4" w:space="0"/>
              <w:left w:val="single" w:color="000000" w:sz="4" w:space="0"/>
              <w:bottom w:val="single" w:color="000000" w:sz="4" w:space="0"/>
              <w:right w:val="single" w:color="000000" w:sz="4" w:space="0"/>
            </w:tcBorders>
            <w:vAlign w:val="center"/>
          </w:tcPr>
          <w:p w14:paraId="0D8662DA">
            <w:pPr>
              <w:pStyle w:val="156"/>
              <w:spacing w:before="1"/>
              <w:ind w:left="10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投标文件其他要求</w:t>
            </w:r>
          </w:p>
        </w:tc>
        <w:tc>
          <w:tcPr>
            <w:tcW w:w="6601" w:type="dxa"/>
            <w:tcBorders>
              <w:top w:val="single" w:color="000000" w:sz="4" w:space="0"/>
              <w:left w:val="single" w:color="000000" w:sz="4" w:space="0"/>
              <w:bottom w:val="single" w:color="000000" w:sz="4" w:space="0"/>
              <w:right w:val="single" w:color="000000" w:sz="4" w:space="0"/>
            </w:tcBorders>
          </w:tcPr>
          <w:p w14:paraId="262327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1、本项目采用全过程电子化投标，投标人需用 CA 在电子平台上传电子投标文件；</w:t>
            </w:r>
          </w:p>
          <w:p w14:paraId="2F564A82">
            <w:pPr>
              <w:pStyle w:val="155"/>
              <w:spacing w:before="0" w:beforeAutospacing="0" w:after="0" w:afterAutospacing="0" w:line="500" w:lineRule="exact"/>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2、开标时不再递交纸质投标文件，中标单位领取中标通知书</w:t>
            </w:r>
            <w:r>
              <w:rPr>
                <w:rFonts w:hint="eastAsia" w:ascii="宋体" w:hAnsi="宋体" w:cs="宋体"/>
                <w:b/>
                <w:bCs/>
                <w:color w:val="auto"/>
                <w:sz w:val="24"/>
                <w:szCs w:val="24"/>
                <w:highlight w:val="none"/>
                <w:lang w:eastAsia="zh-CN"/>
              </w:rPr>
              <w:t>前</w:t>
            </w:r>
            <w:r>
              <w:rPr>
                <w:rFonts w:hint="eastAsia" w:ascii="宋体" w:hAnsi="宋体" w:eastAsia="宋体" w:cs="宋体"/>
                <w:b/>
                <w:bCs/>
                <w:color w:val="auto"/>
                <w:sz w:val="24"/>
                <w:szCs w:val="24"/>
                <w:highlight w:val="none"/>
                <w:lang w:eastAsia="zh-CN"/>
              </w:rPr>
              <w:t>需</w:t>
            </w:r>
            <w:r>
              <w:rPr>
                <w:rFonts w:hint="eastAsia" w:ascii="宋体" w:hAnsi="宋体" w:eastAsia="宋体" w:cs="宋体"/>
                <w:b/>
                <w:bCs/>
                <w:color w:val="auto"/>
                <w:sz w:val="24"/>
                <w:szCs w:val="24"/>
                <w:highlight w:val="none"/>
              </w:rPr>
              <w:t>提交</w:t>
            </w:r>
            <w:r>
              <w:rPr>
                <w:rFonts w:hint="eastAsia" w:ascii="宋体" w:hAnsi="宋体" w:eastAsia="宋体" w:cs="宋体"/>
                <w:b/>
                <w:bCs/>
                <w:color w:val="auto"/>
                <w:sz w:val="24"/>
                <w:szCs w:val="24"/>
                <w:highlight w:val="none"/>
                <w:lang w:eastAsia="zh-CN"/>
              </w:rPr>
              <w:t>叁</w:t>
            </w:r>
            <w:r>
              <w:rPr>
                <w:rFonts w:hint="eastAsia" w:ascii="宋体" w:hAnsi="宋体" w:eastAsia="宋体" w:cs="宋体"/>
                <w:b/>
                <w:bCs/>
                <w:color w:val="auto"/>
                <w:sz w:val="24"/>
                <w:szCs w:val="24"/>
                <w:highlight w:val="none"/>
              </w:rPr>
              <w:t>份</w:t>
            </w:r>
            <w:r>
              <w:rPr>
                <w:rFonts w:hint="eastAsia" w:ascii="宋体" w:hAnsi="宋体" w:eastAsia="宋体" w:cs="宋体"/>
                <w:b/>
                <w:bCs/>
                <w:color w:val="auto"/>
                <w:sz w:val="24"/>
                <w:szCs w:val="24"/>
                <w:highlight w:val="none"/>
                <w:lang w:eastAsia="zh-CN"/>
              </w:rPr>
              <w:t>与交易中心系统一致的</w:t>
            </w:r>
            <w:r>
              <w:rPr>
                <w:rFonts w:hint="eastAsia" w:ascii="宋体" w:hAnsi="宋体" w:eastAsia="宋体" w:cs="宋体"/>
                <w:b/>
                <w:bCs/>
                <w:color w:val="auto"/>
                <w:sz w:val="24"/>
                <w:szCs w:val="24"/>
                <w:highlight w:val="none"/>
              </w:rPr>
              <w:t>纸质投标文件（一</w:t>
            </w:r>
            <w:r>
              <w:rPr>
                <w:rFonts w:hint="eastAsia" w:ascii="宋体" w:hAnsi="宋体" w:cs="宋体"/>
                <w:b/>
                <w:bCs/>
                <w:color w:val="auto"/>
                <w:sz w:val="24"/>
                <w:szCs w:val="24"/>
                <w:highlight w:val="none"/>
                <w:lang w:eastAsia="zh-CN"/>
              </w:rPr>
              <w:t>份</w:t>
            </w:r>
            <w:r>
              <w:rPr>
                <w:rFonts w:hint="eastAsia" w:ascii="宋体" w:hAnsi="宋体" w:eastAsia="宋体" w:cs="宋体"/>
                <w:b/>
                <w:bCs/>
                <w:color w:val="auto"/>
                <w:sz w:val="24"/>
                <w:szCs w:val="24"/>
                <w:highlight w:val="none"/>
              </w:rPr>
              <w:t>正</w:t>
            </w:r>
            <w:r>
              <w:rPr>
                <w:rFonts w:hint="eastAsia" w:ascii="宋体" w:hAnsi="宋体" w:cs="宋体"/>
                <w:b/>
                <w:bCs/>
                <w:color w:val="auto"/>
                <w:sz w:val="24"/>
                <w:szCs w:val="24"/>
                <w:highlight w:val="none"/>
                <w:lang w:eastAsia="zh-CN"/>
              </w:rPr>
              <w:t>本，两份</w:t>
            </w:r>
            <w:r>
              <w:rPr>
                <w:rFonts w:hint="eastAsia" w:ascii="宋体" w:hAnsi="宋体" w:eastAsia="宋体" w:cs="宋体"/>
                <w:b/>
                <w:bCs/>
                <w:color w:val="auto"/>
                <w:sz w:val="24"/>
                <w:szCs w:val="24"/>
                <w:highlight w:val="none"/>
              </w:rPr>
              <w:t>副</w:t>
            </w:r>
            <w:r>
              <w:rPr>
                <w:rFonts w:hint="eastAsia" w:ascii="宋体" w:hAnsi="宋体" w:cs="宋体"/>
                <w:b/>
                <w:bCs/>
                <w:color w:val="auto"/>
                <w:sz w:val="24"/>
                <w:szCs w:val="24"/>
                <w:highlight w:val="none"/>
                <w:lang w:eastAsia="zh-CN"/>
              </w:rPr>
              <w:t>本</w:t>
            </w:r>
            <w:r>
              <w:rPr>
                <w:rFonts w:hint="eastAsia" w:ascii="宋体" w:hAnsi="宋体" w:eastAsia="宋体" w:cs="宋体"/>
                <w:b/>
                <w:bCs/>
                <w:color w:val="auto"/>
                <w:sz w:val="24"/>
                <w:szCs w:val="24"/>
                <w:highlight w:val="none"/>
              </w:rPr>
              <w:t>），投标文件应按以下要求装订：胶装（不得采用活页装订），应有目录</w:t>
            </w:r>
            <w:r>
              <w:rPr>
                <w:rFonts w:hint="eastAsia" w:ascii="宋体" w:hAnsi="宋体" w:cs="宋体"/>
                <w:b/>
                <w:bCs/>
                <w:color w:val="auto"/>
                <w:sz w:val="24"/>
                <w:szCs w:val="24"/>
                <w:highlight w:val="none"/>
                <w:lang w:eastAsia="zh-CN"/>
              </w:rPr>
              <w:t>、书脊，</w:t>
            </w:r>
            <w:r>
              <w:rPr>
                <w:rFonts w:hint="eastAsia" w:ascii="宋体" w:hAnsi="宋体" w:eastAsia="宋体" w:cs="宋体"/>
                <w:b/>
                <w:bCs/>
                <w:color w:val="auto"/>
                <w:sz w:val="24"/>
                <w:szCs w:val="24"/>
                <w:highlight w:val="none"/>
              </w:rPr>
              <w:t>并逐页标注连续页码，需加盖公章。</w:t>
            </w:r>
          </w:p>
        </w:tc>
      </w:tr>
      <w:tr w14:paraId="08A68C8B">
        <w:tblPrEx>
          <w:tblCellMar>
            <w:top w:w="0" w:type="dxa"/>
            <w:left w:w="0" w:type="dxa"/>
            <w:bottom w:w="0" w:type="dxa"/>
            <w:right w:w="0" w:type="dxa"/>
          </w:tblCellMar>
        </w:tblPrEx>
        <w:trPr>
          <w:trHeight w:val="487"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0F72D222">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4.2.1</w:t>
            </w:r>
          </w:p>
        </w:tc>
        <w:tc>
          <w:tcPr>
            <w:tcW w:w="2683" w:type="dxa"/>
            <w:tcBorders>
              <w:top w:val="single" w:color="000000" w:sz="4" w:space="0"/>
              <w:left w:val="single" w:color="000000" w:sz="4" w:space="0"/>
              <w:bottom w:val="single" w:color="000000" w:sz="4" w:space="0"/>
              <w:right w:val="single" w:color="000000" w:sz="4" w:space="0"/>
            </w:tcBorders>
            <w:vAlign w:val="center"/>
          </w:tcPr>
          <w:p w14:paraId="677A8D0C">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投标截止时间  </w:t>
            </w:r>
          </w:p>
        </w:tc>
        <w:tc>
          <w:tcPr>
            <w:tcW w:w="6601" w:type="dxa"/>
            <w:tcBorders>
              <w:top w:val="single" w:color="000000" w:sz="4" w:space="0"/>
              <w:left w:val="single" w:color="000000" w:sz="4" w:space="0"/>
              <w:bottom w:val="single" w:color="000000" w:sz="4" w:space="0"/>
              <w:right w:val="single" w:color="000000" w:sz="4" w:space="0"/>
            </w:tcBorders>
            <w:vAlign w:val="center"/>
          </w:tcPr>
          <w:p w14:paraId="4FE870A3">
            <w:pPr>
              <w:autoSpaceDE w:val="0"/>
              <w:autoSpaceDN w:val="0"/>
              <w:adjustRightIn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w:t>
            </w:r>
            <w:r>
              <w:rPr>
                <w:rFonts w:hint="eastAsia" w:ascii="宋体" w:hAnsi="宋体" w:eastAsia="宋体" w:cs="宋体"/>
                <w:b/>
                <w:color w:val="auto"/>
                <w:sz w:val="24"/>
                <w:highlight w:val="none"/>
                <w:lang w:val="en-US" w:eastAsia="zh-CN"/>
              </w:rPr>
              <w:t>2</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年</w:t>
            </w:r>
            <w:r>
              <w:rPr>
                <w:rFonts w:hint="eastAsia" w:ascii="宋体" w:hAnsi="宋体" w:cs="宋体"/>
                <w:b/>
                <w:color w:val="auto"/>
                <w:sz w:val="24"/>
                <w:highlight w:val="none"/>
                <w:lang w:val="en-US" w:eastAsia="zh-CN"/>
              </w:rPr>
              <w:t>12</w:t>
            </w:r>
            <w:r>
              <w:rPr>
                <w:rFonts w:hint="eastAsia" w:ascii="宋体" w:hAnsi="宋体" w:eastAsia="宋体" w:cs="宋体"/>
                <w:b/>
                <w:color w:val="auto"/>
                <w:sz w:val="24"/>
                <w:highlight w:val="none"/>
              </w:rPr>
              <w:t>月</w:t>
            </w:r>
            <w:r>
              <w:rPr>
                <w:rFonts w:hint="eastAsia" w:ascii="宋体" w:hAnsi="宋体" w:cs="宋体"/>
                <w:b/>
                <w:color w:val="auto"/>
                <w:sz w:val="24"/>
                <w:highlight w:val="none"/>
                <w:lang w:val="en-US" w:eastAsia="zh-CN"/>
              </w:rPr>
              <w:t>23</w:t>
            </w:r>
            <w:r>
              <w:rPr>
                <w:rFonts w:hint="eastAsia" w:ascii="宋体" w:hAnsi="宋体" w:eastAsia="宋体" w:cs="宋体"/>
                <w:b/>
                <w:color w:val="auto"/>
                <w:sz w:val="24"/>
                <w:highlight w:val="none"/>
              </w:rPr>
              <w:t>日</w:t>
            </w:r>
            <w:r>
              <w:rPr>
                <w:rFonts w:hint="eastAsia" w:ascii="宋体" w:hAnsi="宋体" w:cs="宋体"/>
                <w:b/>
                <w:color w:val="auto"/>
                <w:sz w:val="24"/>
                <w:highlight w:val="none"/>
                <w:lang w:val="en-US" w:eastAsia="zh-CN"/>
              </w:rPr>
              <w:t>09</w:t>
            </w:r>
            <w:r>
              <w:rPr>
                <w:rFonts w:hint="eastAsia" w:ascii="宋体" w:hAnsi="宋体" w:eastAsia="宋体" w:cs="宋体"/>
                <w:b/>
                <w:color w:val="auto"/>
                <w:sz w:val="24"/>
                <w:highlight w:val="none"/>
              </w:rPr>
              <w:t>时</w:t>
            </w:r>
            <w:r>
              <w:rPr>
                <w:rFonts w:hint="eastAsia" w:ascii="宋体" w:hAnsi="宋体" w:cs="宋体"/>
                <w:b/>
                <w:color w:val="auto"/>
                <w:sz w:val="24"/>
                <w:highlight w:val="none"/>
                <w:lang w:val="en-US" w:eastAsia="zh-CN"/>
              </w:rPr>
              <w:t>10</w:t>
            </w:r>
            <w:r>
              <w:rPr>
                <w:rFonts w:hint="eastAsia" w:ascii="宋体" w:hAnsi="宋体" w:eastAsia="宋体" w:cs="宋体"/>
                <w:b/>
                <w:color w:val="auto"/>
                <w:sz w:val="24"/>
                <w:highlight w:val="none"/>
              </w:rPr>
              <w:t>分</w:t>
            </w:r>
          </w:p>
        </w:tc>
      </w:tr>
      <w:tr w14:paraId="202E5BE2">
        <w:tblPrEx>
          <w:tblCellMar>
            <w:top w:w="0" w:type="dxa"/>
            <w:left w:w="0" w:type="dxa"/>
            <w:bottom w:w="0" w:type="dxa"/>
            <w:right w:w="0" w:type="dxa"/>
          </w:tblCellMar>
        </w:tblPrEx>
        <w:trPr>
          <w:trHeight w:val="487"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4AC193C2">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p>
        </w:tc>
        <w:tc>
          <w:tcPr>
            <w:tcW w:w="2683" w:type="dxa"/>
            <w:tcBorders>
              <w:top w:val="single" w:color="000000" w:sz="4" w:space="0"/>
              <w:left w:val="single" w:color="000000" w:sz="4" w:space="0"/>
              <w:bottom w:val="single" w:color="000000" w:sz="4" w:space="0"/>
              <w:right w:val="single" w:color="000000" w:sz="4" w:space="0"/>
            </w:tcBorders>
            <w:vAlign w:val="center"/>
          </w:tcPr>
          <w:p w14:paraId="06CA407C">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开标时间和地点</w:t>
            </w:r>
          </w:p>
        </w:tc>
        <w:tc>
          <w:tcPr>
            <w:tcW w:w="6601" w:type="dxa"/>
            <w:tcBorders>
              <w:top w:val="single" w:color="000000" w:sz="4" w:space="0"/>
              <w:left w:val="single" w:color="000000" w:sz="4" w:space="0"/>
              <w:bottom w:val="single" w:color="000000" w:sz="4" w:space="0"/>
              <w:right w:val="single" w:color="000000" w:sz="4" w:space="0"/>
            </w:tcBorders>
            <w:vAlign w:val="center"/>
          </w:tcPr>
          <w:p w14:paraId="35429180">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开标时间：同投标截止时间</w:t>
            </w:r>
            <w:r>
              <w:rPr>
                <w:rFonts w:hint="eastAsia" w:ascii="宋体" w:hAnsi="宋体" w:cs="宋体"/>
                <w:color w:val="auto"/>
                <w:sz w:val="24"/>
                <w:highlight w:val="none"/>
                <w:lang w:eastAsia="zh-CN"/>
              </w:rPr>
              <w:t>。</w:t>
            </w:r>
          </w:p>
          <w:p w14:paraId="6439A3D8">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开标地点：同递交投标文件地点</w:t>
            </w:r>
            <w:r>
              <w:rPr>
                <w:rFonts w:hint="eastAsia" w:ascii="宋体" w:hAnsi="宋体" w:cs="宋体"/>
                <w:color w:val="auto"/>
                <w:sz w:val="24"/>
                <w:highlight w:val="none"/>
                <w:lang w:eastAsia="zh-CN"/>
              </w:rPr>
              <w:t>。</w:t>
            </w:r>
          </w:p>
        </w:tc>
      </w:tr>
      <w:tr w14:paraId="4E1B620E">
        <w:tblPrEx>
          <w:tblCellMar>
            <w:top w:w="0" w:type="dxa"/>
            <w:left w:w="0" w:type="dxa"/>
            <w:bottom w:w="0" w:type="dxa"/>
            <w:right w:w="0" w:type="dxa"/>
          </w:tblCellMar>
        </w:tblPrEx>
        <w:trPr>
          <w:trHeight w:val="500"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1AF7CD95">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p>
        </w:tc>
        <w:tc>
          <w:tcPr>
            <w:tcW w:w="2683" w:type="dxa"/>
            <w:tcBorders>
              <w:top w:val="single" w:color="000000" w:sz="4" w:space="0"/>
              <w:left w:val="single" w:color="000000" w:sz="4" w:space="0"/>
              <w:bottom w:val="single" w:color="000000" w:sz="4" w:space="0"/>
              <w:right w:val="single" w:color="000000" w:sz="4" w:space="0"/>
            </w:tcBorders>
            <w:vAlign w:val="center"/>
          </w:tcPr>
          <w:p w14:paraId="6BF0FDF6">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开标程序</w:t>
            </w:r>
          </w:p>
        </w:tc>
        <w:tc>
          <w:tcPr>
            <w:tcW w:w="6601" w:type="dxa"/>
            <w:tcBorders>
              <w:top w:val="single" w:color="000000" w:sz="4" w:space="0"/>
              <w:left w:val="single" w:color="000000" w:sz="4" w:space="0"/>
              <w:bottom w:val="single" w:color="000000" w:sz="4" w:space="0"/>
              <w:right w:val="single" w:color="000000" w:sz="4" w:space="0"/>
            </w:tcBorders>
            <w:vAlign w:val="center"/>
          </w:tcPr>
          <w:p w14:paraId="78F9003A">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见招标文件开标程序</w:t>
            </w:r>
            <w:r>
              <w:rPr>
                <w:rFonts w:hint="eastAsia" w:ascii="宋体" w:hAnsi="宋体" w:cs="宋体"/>
                <w:color w:val="auto"/>
                <w:sz w:val="24"/>
                <w:highlight w:val="none"/>
                <w:lang w:eastAsia="zh-CN"/>
              </w:rPr>
              <w:t>。</w:t>
            </w:r>
          </w:p>
        </w:tc>
      </w:tr>
      <w:tr w14:paraId="46513C13">
        <w:tblPrEx>
          <w:tblCellMar>
            <w:top w:w="0" w:type="dxa"/>
            <w:left w:w="0" w:type="dxa"/>
            <w:bottom w:w="0" w:type="dxa"/>
            <w:right w:w="0" w:type="dxa"/>
          </w:tblCellMar>
        </w:tblPrEx>
        <w:trPr>
          <w:trHeight w:val="760"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51F7F8D1">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6.1.1</w:t>
            </w:r>
          </w:p>
        </w:tc>
        <w:tc>
          <w:tcPr>
            <w:tcW w:w="2683" w:type="dxa"/>
            <w:tcBorders>
              <w:top w:val="single" w:color="000000" w:sz="4" w:space="0"/>
              <w:left w:val="single" w:color="000000" w:sz="4" w:space="0"/>
              <w:bottom w:val="single" w:color="000000" w:sz="4" w:space="0"/>
              <w:right w:val="single" w:color="000000" w:sz="4" w:space="0"/>
            </w:tcBorders>
            <w:vAlign w:val="center"/>
          </w:tcPr>
          <w:p w14:paraId="04DC26E4">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评标委员会的组建</w:t>
            </w:r>
          </w:p>
        </w:tc>
        <w:tc>
          <w:tcPr>
            <w:tcW w:w="6601" w:type="dxa"/>
            <w:tcBorders>
              <w:top w:val="single" w:color="000000" w:sz="4" w:space="0"/>
              <w:left w:val="single" w:color="000000" w:sz="4" w:space="0"/>
              <w:bottom w:val="single" w:color="000000" w:sz="4" w:space="0"/>
              <w:right w:val="single" w:color="000000" w:sz="4" w:space="0"/>
            </w:tcBorders>
            <w:vAlign w:val="center"/>
          </w:tcPr>
          <w:p w14:paraId="44EB10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本项目评标采用远程异地评标</w:t>
            </w:r>
            <w:r>
              <w:rPr>
                <w:rFonts w:hint="eastAsia" w:ascii="宋体" w:hAnsi="宋体" w:cs="宋体"/>
                <w:color w:val="auto"/>
                <w:sz w:val="24"/>
                <w:highlight w:val="none"/>
                <w:lang w:val="en-US" w:eastAsia="zh-CN"/>
              </w:rPr>
              <w:t>，评标委员会共5人组成。</w:t>
            </w:r>
            <w:r>
              <w:rPr>
                <w:rFonts w:hint="eastAsia" w:ascii="宋体" w:hAnsi="宋体" w:eastAsia="宋体" w:cs="宋体"/>
                <w:color w:val="auto"/>
                <w:kern w:val="0"/>
                <w:sz w:val="24"/>
                <w:highlight w:val="none"/>
              </w:rPr>
              <w:t>其中招标人熟悉相关业务的代表</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eastAsia="zh-CN"/>
              </w:rPr>
              <w:t>有关</w:t>
            </w:r>
            <w:r>
              <w:rPr>
                <w:rFonts w:hint="eastAsia" w:ascii="宋体" w:hAnsi="宋体" w:eastAsia="宋体" w:cs="宋体"/>
                <w:color w:val="auto"/>
                <w:kern w:val="0"/>
                <w:sz w:val="24"/>
                <w:highlight w:val="none"/>
              </w:rPr>
              <w:t>经济、技术等方面的专家</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lang w:eastAsia="zh-CN"/>
              </w:rPr>
              <w:t>名</w:t>
            </w:r>
            <w:r>
              <w:rPr>
                <w:rFonts w:hint="eastAsia" w:ascii="宋体" w:hAnsi="宋体" w:eastAsia="宋体" w:cs="宋体"/>
                <w:color w:val="auto"/>
                <w:kern w:val="0"/>
                <w:sz w:val="24"/>
                <w:highlight w:val="none"/>
              </w:rPr>
              <w:t>经济、技术等方面的专家在</w:t>
            </w:r>
            <w:r>
              <w:rPr>
                <w:rFonts w:hint="eastAsia" w:ascii="宋体" w:hAnsi="宋体" w:eastAsia="宋体" w:cs="宋体"/>
                <w:color w:val="auto"/>
                <w:sz w:val="24"/>
                <w:highlight w:val="none"/>
              </w:rPr>
              <w:t>评标前通过</w:t>
            </w:r>
            <w:r>
              <w:rPr>
                <w:rFonts w:hint="eastAsia" w:ascii="宋体" w:hAnsi="宋体" w:cs="宋体"/>
                <w:color w:val="auto"/>
                <w:sz w:val="24"/>
                <w:szCs w:val="24"/>
                <w:highlight w:val="none"/>
                <w:lang w:val="en-US" w:eastAsia="zh-CN"/>
              </w:rPr>
              <w:t>河南省电子化政府采购系统评标专家库</w:t>
            </w:r>
            <w:r>
              <w:rPr>
                <w:rFonts w:hint="eastAsia" w:ascii="宋体" w:hAnsi="宋体" w:eastAsia="宋体" w:cs="宋体"/>
                <w:color w:val="auto"/>
                <w:sz w:val="24"/>
                <w:highlight w:val="none"/>
              </w:rPr>
              <w:t>随机抽取。</w:t>
            </w:r>
          </w:p>
          <w:p w14:paraId="1BB0E42B">
            <w:pPr>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val="en-US" w:eastAsia="zh-CN"/>
              </w:rPr>
              <w:t>备注：</w:t>
            </w:r>
            <w:r>
              <w:rPr>
                <w:rFonts w:hint="eastAsia" w:ascii="宋体" w:hAnsi="宋体" w:eastAsia="宋体" w:cs="宋体"/>
                <w:color w:val="auto"/>
                <w:sz w:val="24"/>
                <w:highlight w:val="none"/>
              </w:rPr>
              <w:t>根据省政府关于评标专家的有关管理规定，</w:t>
            </w:r>
            <w:r>
              <w:rPr>
                <w:rFonts w:hint="eastAsia" w:ascii="宋体" w:hAnsi="宋体" w:eastAsia="宋体" w:cs="宋体"/>
                <w:b/>
                <w:bCs/>
                <w:color w:val="auto"/>
                <w:sz w:val="24"/>
                <w:highlight w:val="none"/>
              </w:rPr>
              <w:t>业主评委</w:t>
            </w:r>
            <w:r>
              <w:rPr>
                <w:rFonts w:hint="eastAsia" w:ascii="宋体" w:hAnsi="宋体" w:cs="宋体"/>
                <w:b/>
                <w:bCs/>
                <w:color w:val="auto"/>
                <w:sz w:val="24"/>
                <w:highlight w:val="none"/>
                <w:lang w:val="en-US" w:eastAsia="zh-CN"/>
              </w:rPr>
              <w:t>无</w:t>
            </w:r>
            <w:r>
              <w:rPr>
                <w:rFonts w:hint="eastAsia" w:ascii="宋体" w:hAnsi="宋体" w:eastAsia="宋体" w:cs="宋体"/>
                <w:b/>
                <w:bCs/>
                <w:color w:val="auto"/>
                <w:sz w:val="24"/>
                <w:highlight w:val="none"/>
              </w:rPr>
              <w:t>评标劳务费</w:t>
            </w:r>
            <w:r>
              <w:rPr>
                <w:rFonts w:hint="eastAsia" w:ascii="宋体" w:hAnsi="宋体" w:eastAsia="宋体" w:cs="宋体"/>
                <w:b/>
                <w:bCs/>
                <w:color w:val="auto"/>
                <w:sz w:val="24"/>
                <w:highlight w:val="none"/>
                <w:lang w:val="en-US" w:eastAsia="zh-CN"/>
              </w:rPr>
              <w:t>。</w:t>
            </w:r>
          </w:p>
        </w:tc>
      </w:tr>
      <w:tr w14:paraId="70495BB6">
        <w:tblPrEx>
          <w:tblCellMar>
            <w:top w:w="0" w:type="dxa"/>
            <w:left w:w="0" w:type="dxa"/>
            <w:bottom w:w="0" w:type="dxa"/>
            <w:right w:w="0" w:type="dxa"/>
          </w:tblCellMar>
        </w:tblPrEx>
        <w:trPr>
          <w:trHeight w:val="826"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35A6400A">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6.3.2</w:t>
            </w:r>
          </w:p>
        </w:tc>
        <w:tc>
          <w:tcPr>
            <w:tcW w:w="2683" w:type="dxa"/>
            <w:tcBorders>
              <w:top w:val="single" w:color="000000" w:sz="4" w:space="0"/>
              <w:left w:val="single" w:color="000000" w:sz="4" w:space="0"/>
              <w:bottom w:val="single" w:color="000000" w:sz="4" w:space="0"/>
              <w:right w:val="single" w:color="000000" w:sz="4" w:space="0"/>
            </w:tcBorders>
            <w:vAlign w:val="center"/>
          </w:tcPr>
          <w:p w14:paraId="7464147A">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评标委员会推荐中标候选人的人数</w:t>
            </w:r>
          </w:p>
        </w:tc>
        <w:tc>
          <w:tcPr>
            <w:tcW w:w="6601" w:type="dxa"/>
            <w:tcBorders>
              <w:top w:val="single" w:color="000000" w:sz="4" w:space="0"/>
              <w:left w:val="single" w:color="000000" w:sz="4" w:space="0"/>
              <w:bottom w:val="single" w:color="000000" w:sz="4" w:space="0"/>
              <w:right w:val="single" w:color="000000" w:sz="4" w:space="0"/>
            </w:tcBorders>
            <w:vAlign w:val="center"/>
          </w:tcPr>
          <w:p w14:paraId="79B19D39">
            <w:pPr>
              <w:autoSpaceDE w:val="0"/>
              <w:autoSpaceDN w:val="0"/>
              <w:adjustRightInd w:val="0"/>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推荐3名中标候选人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并标明排序。</w:t>
            </w:r>
          </w:p>
        </w:tc>
      </w:tr>
      <w:tr w14:paraId="130E40E8">
        <w:tblPrEx>
          <w:tblCellMar>
            <w:top w:w="0" w:type="dxa"/>
            <w:left w:w="0" w:type="dxa"/>
            <w:bottom w:w="0" w:type="dxa"/>
            <w:right w:w="0" w:type="dxa"/>
          </w:tblCellMar>
        </w:tblPrEx>
        <w:trPr>
          <w:trHeight w:val="464"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348CECAD">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7.1</w:t>
            </w:r>
          </w:p>
        </w:tc>
        <w:tc>
          <w:tcPr>
            <w:tcW w:w="2683" w:type="dxa"/>
            <w:tcBorders>
              <w:top w:val="single" w:color="000000" w:sz="4" w:space="0"/>
              <w:left w:val="single" w:color="000000" w:sz="4" w:space="0"/>
              <w:bottom w:val="single" w:color="000000" w:sz="4" w:space="0"/>
              <w:right w:val="single" w:color="000000" w:sz="4" w:space="0"/>
            </w:tcBorders>
            <w:vAlign w:val="center"/>
          </w:tcPr>
          <w:p w14:paraId="60D3C8BA">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中标候选人公示媒介及期限</w:t>
            </w:r>
          </w:p>
        </w:tc>
        <w:tc>
          <w:tcPr>
            <w:tcW w:w="6601" w:type="dxa"/>
            <w:tcBorders>
              <w:top w:val="single" w:color="000000" w:sz="4" w:space="0"/>
              <w:left w:val="single" w:color="000000" w:sz="4" w:space="0"/>
              <w:bottom w:val="single" w:color="000000" w:sz="4" w:space="0"/>
              <w:right w:val="single" w:color="000000" w:sz="4" w:space="0"/>
            </w:tcBorders>
            <w:vAlign w:val="center"/>
          </w:tcPr>
          <w:p w14:paraId="47C565BC">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公示媒介：同招标公告发布媒介</w:t>
            </w:r>
          </w:p>
          <w:p w14:paraId="1F384654">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公示期限：</w:t>
            </w:r>
            <w:r>
              <w:rPr>
                <w:rFonts w:hint="eastAsia" w:ascii="宋体" w:hAnsi="宋体" w:cs="宋体"/>
                <w:color w:val="auto"/>
                <w:sz w:val="24"/>
                <w:highlight w:val="none"/>
                <w:u w:val="single"/>
                <w:lang w:val="en-US" w:eastAsia="zh-CN"/>
              </w:rPr>
              <w:t xml:space="preserve"> 1  </w:t>
            </w:r>
            <w:r>
              <w:rPr>
                <w:rFonts w:hint="eastAsia" w:ascii="宋体" w:hAnsi="宋体" w:eastAsia="宋体" w:cs="宋体"/>
                <w:color w:val="auto"/>
                <w:sz w:val="24"/>
                <w:highlight w:val="none"/>
              </w:rPr>
              <w:t>日</w:t>
            </w:r>
          </w:p>
        </w:tc>
      </w:tr>
      <w:tr w14:paraId="5DFD3680">
        <w:tblPrEx>
          <w:tblCellMar>
            <w:top w:w="0" w:type="dxa"/>
            <w:left w:w="0" w:type="dxa"/>
            <w:bottom w:w="0" w:type="dxa"/>
            <w:right w:w="0" w:type="dxa"/>
          </w:tblCellMar>
        </w:tblPrEx>
        <w:trPr>
          <w:trHeight w:val="90" w:hRule="atLeast"/>
          <w:jc w:val="center"/>
        </w:trPr>
        <w:tc>
          <w:tcPr>
            <w:tcW w:w="904" w:type="dxa"/>
            <w:tcBorders>
              <w:top w:val="single" w:color="000000" w:sz="4" w:space="0"/>
              <w:left w:val="single" w:color="000000" w:sz="4" w:space="0"/>
              <w:bottom w:val="single" w:color="000000" w:sz="4" w:space="0"/>
              <w:right w:val="single" w:color="000000" w:sz="4" w:space="0"/>
            </w:tcBorders>
            <w:vAlign w:val="center"/>
          </w:tcPr>
          <w:p w14:paraId="3BD9B647">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7.4</w:t>
            </w:r>
          </w:p>
        </w:tc>
        <w:tc>
          <w:tcPr>
            <w:tcW w:w="2683" w:type="dxa"/>
            <w:tcBorders>
              <w:top w:val="single" w:color="000000" w:sz="4" w:space="0"/>
              <w:left w:val="single" w:color="000000" w:sz="4" w:space="0"/>
              <w:bottom w:val="single" w:color="000000" w:sz="4" w:space="0"/>
              <w:right w:val="single" w:color="auto" w:sz="4" w:space="0"/>
            </w:tcBorders>
            <w:vAlign w:val="center"/>
          </w:tcPr>
          <w:p w14:paraId="64FB1DE6">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是否授权评标委员会</w:t>
            </w:r>
          </w:p>
          <w:p w14:paraId="6C7454C8">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确定中标人</w:t>
            </w:r>
          </w:p>
        </w:tc>
        <w:tc>
          <w:tcPr>
            <w:tcW w:w="6601" w:type="dxa"/>
            <w:tcBorders>
              <w:top w:val="single" w:color="000000" w:sz="4" w:space="0"/>
              <w:left w:val="single" w:color="auto" w:sz="4" w:space="0"/>
              <w:bottom w:val="single" w:color="000000" w:sz="4" w:space="0"/>
              <w:right w:val="single" w:color="000000" w:sz="4" w:space="0"/>
            </w:tcBorders>
            <w:vAlign w:val="center"/>
          </w:tcPr>
          <w:p w14:paraId="6D766B90">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否</w:t>
            </w:r>
          </w:p>
        </w:tc>
      </w:tr>
      <w:tr w14:paraId="2D197D21">
        <w:tblPrEx>
          <w:tblCellMar>
            <w:top w:w="0" w:type="dxa"/>
            <w:left w:w="0" w:type="dxa"/>
            <w:bottom w:w="0" w:type="dxa"/>
            <w:right w:w="0" w:type="dxa"/>
          </w:tblCellMar>
        </w:tblPrEx>
        <w:trPr>
          <w:trHeight w:val="593" w:hRule="atLeast"/>
          <w:jc w:val="center"/>
        </w:trPr>
        <w:tc>
          <w:tcPr>
            <w:tcW w:w="904" w:type="dxa"/>
            <w:tcBorders>
              <w:top w:val="single" w:color="auto" w:sz="4" w:space="0"/>
              <w:left w:val="single" w:color="000000" w:sz="4" w:space="0"/>
              <w:bottom w:val="single" w:color="auto" w:sz="4" w:space="0"/>
              <w:right w:val="single" w:color="000000" w:sz="4" w:space="0"/>
            </w:tcBorders>
            <w:vAlign w:val="center"/>
          </w:tcPr>
          <w:p w14:paraId="3B7EE1F1">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2683" w:type="dxa"/>
            <w:tcBorders>
              <w:top w:val="single" w:color="auto" w:sz="4" w:space="0"/>
              <w:left w:val="single" w:color="000000" w:sz="4" w:space="0"/>
              <w:bottom w:val="single" w:color="auto" w:sz="4" w:space="0"/>
              <w:right w:val="single" w:color="auto" w:sz="4" w:space="0"/>
            </w:tcBorders>
            <w:vAlign w:val="center"/>
          </w:tcPr>
          <w:p w14:paraId="17CFB977">
            <w:pPr>
              <w:autoSpaceDE w:val="0"/>
              <w:autoSpaceDN w:val="0"/>
              <w:adjustRightIn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是否采用电子招标投标</w:t>
            </w:r>
          </w:p>
        </w:tc>
        <w:tc>
          <w:tcPr>
            <w:tcW w:w="6601" w:type="dxa"/>
            <w:tcBorders>
              <w:top w:val="single" w:color="auto" w:sz="4" w:space="0"/>
              <w:left w:val="single" w:color="auto" w:sz="4" w:space="0"/>
              <w:bottom w:val="single" w:color="auto" w:sz="4" w:space="0"/>
              <w:right w:val="single" w:color="000000" w:sz="4" w:space="0"/>
            </w:tcBorders>
            <w:vAlign w:val="center"/>
          </w:tcPr>
          <w:p w14:paraId="03BAB827">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具体要求：本项目为电子化、无纸化交易项目，响应文件是</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通过中心响应文件制作系统制作，并经过签章和加密后生成的电子版响应文件。</w:t>
            </w:r>
          </w:p>
          <w:p w14:paraId="143459D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cs="宋体"/>
                <w:color w:val="auto"/>
                <w:sz w:val="24"/>
                <w:highlight w:val="none"/>
              </w:rPr>
            </w:pPr>
            <w:r>
              <w:rPr>
                <w:rFonts w:hint="eastAsia" w:ascii="宋体" w:hAnsi="宋体" w:cs="宋体"/>
                <w:color w:val="auto"/>
                <w:sz w:val="24"/>
                <w:highlight w:val="none"/>
              </w:rPr>
              <w:t>电子化响应文件具体制作文件请点击http://gzjy.smx.gov.cn/fwzn/004003/20200330/0de4b849-7eb7-4f4e-9a30-ae8b6a961d7f.html进行下载。</w:t>
            </w:r>
          </w:p>
          <w:p w14:paraId="37F9D8DA">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温馨提示：本项目为电子化、无纸化交易项目，为保证您能投标成功，请需仔细阅读以下条款。</w:t>
            </w:r>
          </w:p>
          <w:p w14:paraId="00AA2A06">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一、电子化投标</w:t>
            </w:r>
          </w:p>
          <w:p w14:paraId="4074CAF5">
            <w:pPr>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）电子化响应文件的签章</w:t>
            </w:r>
          </w:p>
          <w:p w14:paraId="7F3A6C7A">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在生成电子化响应文件后，应对电子化响应文件进行签章，未进行签章的视为无效投标。</w:t>
            </w:r>
          </w:p>
          <w:p w14:paraId="436C0C96">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color w:val="auto"/>
                <w:sz w:val="24"/>
                <w:highlight w:val="none"/>
                <w:lang w:eastAsia="zh-CN"/>
              </w:rPr>
              <w:t>招标</w:t>
            </w:r>
            <w:r>
              <w:rPr>
                <w:rFonts w:hint="eastAsia" w:ascii="宋体" w:hAnsi="宋体" w:cs="宋体"/>
                <w:b/>
                <w:color w:val="auto"/>
                <w:sz w:val="24"/>
                <w:highlight w:val="none"/>
              </w:rPr>
              <w:t>文件中要求</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盖章的，以签盖单位章为准；要求法定代表人或授权代理人签章的，以签盖法定代表人签章为准</w:t>
            </w:r>
            <w:r>
              <w:rPr>
                <w:rFonts w:hint="eastAsia" w:ascii="宋体" w:hAnsi="宋体" w:cs="宋体"/>
                <w:color w:val="auto"/>
                <w:sz w:val="24"/>
                <w:highlight w:val="none"/>
              </w:rPr>
              <w:t>。</w:t>
            </w:r>
          </w:p>
          <w:p w14:paraId="6F341C5D">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）电子化响应文件的格式及上传投标</w:t>
            </w:r>
          </w:p>
          <w:p w14:paraId="77014942">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所上传的电子化响应文件，应是通过中心响应文件制作系统制作的，经过签章和加密后生成的电子版响应文件。其中包含用于响应文件上传的主文件（后缀为.smxtf）和用于应急补救的响应文件备份文件（后缀为.nsmxtf）。</w:t>
            </w:r>
          </w:p>
          <w:p w14:paraId="4924D979">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2、电子化响应文件应在投标截止时间前成功上传至三门峡市公共资源电子化交易系统。至投标截止时间止，仍未上传成功的电子化响应文件将不予接收。</w:t>
            </w:r>
          </w:p>
          <w:p w14:paraId="1A013C6C">
            <w:pPr>
              <w:spacing w:line="360" w:lineRule="auto"/>
              <w:ind w:firstLine="241" w:firstLineChars="100"/>
              <w:rPr>
                <w:rFonts w:hint="eastAsia" w:ascii="宋体" w:hAnsi="宋体" w:cs="宋体"/>
                <w:color w:val="auto"/>
                <w:sz w:val="24"/>
                <w:highlight w:val="none"/>
              </w:rPr>
            </w:pPr>
            <w:r>
              <w:rPr>
                <w:rFonts w:hint="eastAsia" w:ascii="宋体" w:hAnsi="宋体" w:cs="宋体"/>
                <w:b/>
                <w:color w:val="auto"/>
                <w:sz w:val="24"/>
                <w:highlight w:val="none"/>
              </w:rPr>
              <w:t>注：</w:t>
            </w:r>
            <w:r>
              <w:rPr>
                <w:rFonts w:hint="eastAsia" w:ascii="宋体" w:hAnsi="宋体" w:cs="宋体"/>
                <w:color w:val="auto"/>
                <w:sz w:val="24"/>
                <w:highlight w:val="none"/>
              </w:rPr>
              <w:t>如按照电子化投</w:t>
            </w:r>
            <w:r>
              <w:rPr>
                <w:rFonts w:hint="eastAsia" w:ascii="宋体" w:hAnsi="宋体" w:cs="宋体"/>
                <w:b w:val="0"/>
                <w:bCs w:val="0"/>
                <w:color w:val="auto"/>
                <w:sz w:val="24"/>
                <w:highlight w:val="none"/>
              </w:rPr>
              <w:t>标操作教材制作完成的电子化响应文件无法上传的，</w:t>
            </w:r>
            <w:r>
              <w:rPr>
                <w:rFonts w:hint="eastAsia" w:ascii="宋体" w:hAnsi="宋体" w:cs="宋体"/>
                <w:b w:val="0"/>
                <w:bCs w:val="0"/>
                <w:color w:val="auto"/>
                <w:sz w:val="24"/>
                <w:highlight w:val="none"/>
                <w:lang w:eastAsia="zh-CN"/>
              </w:rPr>
              <w:t>投标人</w:t>
            </w:r>
            <w:r>
              <w:rPr>
                <w:rFonts w:hint="eastAsia" w:ascii="宋体" w:hAnsi="宋体" w:cs="宋体"/>
                <w:b w:val="0"/>
                <w:bCs w:val="0"/>
                <w:color w:val="auto"/>
                <w:sz w:val="24"/>
                <w:highlight w:val="none"/>
              </w:rPr>
              <w:t>应在投标截止时间前尽早的联系中心技术人员，以便有充分的时间进行处理。</w:t>
            </w:r>
            <w:r>
              <w:rPr>
                <w:rFonts w:hint="eastAsia" w:ascii="宋体" w:hAnsi="宋体" w:cs="宋体"/>
                <w:b w:val="0"/>
                <w:bCs w:val="0"/>
                <w:color w:val="auto"/>
                <w:sz w:val="24"/>
                <w:highlight w:val="none"/>
                <w:lang w:eastAsia="zh-CN"/>
              </w:rPr>
              <w:t>投标人</w:t>
            </w:r>
            <w:r>
              <w:rPr>
                <w:rFonts w:hint="eastAsia" w:ascii="宋体" w:hAnsi="宋体" w:cs="宋体"/>
                <w:b w:val="0"/>
                <w:bCs w:val="0"/>
                <w:color w:val="auto"/>
                <w:sz w:val="24"/>
                <w:highlight w:val="none"/>
              </w:rPr>
              <w:t>应充分考虑到处理技术问题和上传数据等工作所需的时间问题，响应文件未在投标截止时间前成功上传的，其响应文件不予接收。</w:t>
            </w:r>
          </w:p>
          <w:p w14:paraId="1A2EE5D6">
            <w:pPr>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）电子化项目开标、解密、唱标、评标</w:t>
            </w:r>
          </w:p>
          <w:p w14:paraId="17A93DB2">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1、本项目采用</w:t>
            </w:r>
            <w:r>
              <w:rPr>
                <w:rFonts w:hint="eastAsia" w:ascii="宋体" w:hAnsi="宋体" w:cs="宋体"/>
                <w:b/>
                <w:color w:val="auto"/>
                <w:sz w:val="24"/>
                <w:highlight w:val="none"/>
              </w:rPr>
              <w:t>电子化、无纸化</w:t>
            </w:r>
            <w:r>
              <w:rPr>
                <w:rFonts w:hint="eastAsia" w:ascii="宋体" w:hAnsi="宋体" w:cs="宋体"/>
                <w:color w:val="auto"/>
                <w:sz w:val="24"/>
                <w:highlight w:val="none"/>
              </w:rPr>
              <w:t>进行招标，开标当日，</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无需到开标现场参加开标会议，</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应当在投标截止时间前，登陆不见面开标大厅选择登陆三门峡市公共资源电子招投标系统进行登陆,在线准时参加开标活动并进行响应文件解密等</w:t>
            </w:r>
          </w:p>
          <w:p w14:paraId="6481A07C">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2、电子化响应文件采用一次加密方式。开标时，由</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使用CA 证书，在规定时间内对其电子化响应文件进行解密。每位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的解密时间为开标时间起30分钟内，如在规定时间内未完成解密的，其响应文件不予开标、唱标。</w:t>
            </w:r>
          </w:p>
          <w:p w14:paraId="7C87BB8F">
            <w:pPr>
              <w:spacing w:line="360" w:lineRule="auto"/>
              <w:ind w:firstLine="120" w:firstLineChars="50"/>
              <w:rPr>
                <w:rFonts w:hint="eastAsia" w:ascii="宋体" w:hAnsi="宋体" w:cs="宋体"/>
                <w:b/>
                <w:color w:val="auto"/>
                <w:sz w:val="24"/>
                <w:highlight w:val="none"/>
              </w:rPr>
            </w:pPr>
            <w:r>
              <w:rPr>
                <w:rFonts w:hint="eastAsia" w:ascii="宋体" w:hAnsi="宋体" w:cs="宋体"/>
                <w:color w:val="auto"/>
                <w:sz w:val="24"/>
                <w:highlight w:val="none"/>
              </w:rPr>
              <w:t>3、电子化响应文件解密异常的处理</w:t>
            </w:r>
          </w:p>
          <w:p w14:paraId="1319D557">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如出现</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的电子响应文件无法解密等异常情况，</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应及时致电中介服务机构说明。响应文件异常，按以下步骤进行处理：</w:t>
            </w:r>
          </w:p>
          <w:p w14:paraId="787DED16">
            <w:pPr>
              <w:spacing w:line="360" w:lineRule="auto"/>
              <w:rPr>
                <w:rFonts w:hint="eastAsia" w:ascii="宋体" w:hAnsi="宋体" w:cs="宋体"/>
                <w:color w:val="auto"/>
                <w:sz w:val="24"/>
                <w:highlight w:val="none"/>
              </w:rPr>
            </w:pPr>
            <w:r>
              <w:rPr>
                <w:rFonts w:hint="eastAsia" w:ascii="宋体" w:hAnsi="宋体" w:cs="宋体"/>
                <w:color w:val="auto"/>
                <w:sz w:val="24"/>
                <w:highlight w:val="none"/>
              </w:rPr>
              <w:t>（1）首先由技术人员进行问题排查。</w:t>
            </w:r>
          </w:p>
          <w:p w14:paraId="44C6478D">
            <w:pPr>
              <w:spacing w:line="360" w:lineRule="auto"/>
              <w:rPr>
                <w:rFonts w:hint="eastAsia" w:ascii="宋体" w:hAnsi="宋体" w:cs="宋体"/>
                <w:color w:val="auto"/>
                <w:sz w:val="24"/>
                <w:highlight w:val="none"/>
              </w:rPr>
            </w:pPr>
            <w:r>
              <w:rPr>
                <w:rFonts w:hint="eastAsia" w:ascii="宋体" w:hAnsi="宋体" w:cs="宋体"/>
                <w:color w:val="auto"/>
                <w:sz w:val="24"/>
                <w:highlight w:val="none"/>
              </w:rPr>
              <w:t>（2）经技术人员排查后，是</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文件自身问题导致响应文件无法解密的，该响应文件将不予接收、解密和唱标。开标会议继续进行。</w:t>
            </w:r>
          </w:p>
          <w:p w14:paraId="6AB3F571">
            <w:pPr>
              <w:spacing w:line="360" w:lineRule="auto"/>
              <w:rPr>
                <w:rFonts w:hint="eastAsia" w:ascii="宋体" w:hAnsi="宋体" w:cs="宋体"/>
                <w:color w:val="auto"/>
                <w:sz w:val="24"/>
                <w:highlight w:val="none"/>
              </w:rPr>
            </w:pPr>
            <w:r>
              <w:rPr>
                <w:rFonts w:hint="eastAsia" w:ascii="宋体" w:hAnsi="宋体" w:cs="宋体"/>
                <w:color w:val="auto"/>
                <w:sz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3A073FD9">
            <w:pPr>
              <w:spacing w:line="360" w:lineRule="auto"/>
              <w:rPr>
                <w:rFonts w:hint="eastAsia" w:ascii="宋体" w:hAnsi="宋体" w:cs="宋体"/>
                <w:color w:val="auto"/>
                <w:sz w:val="24"/>
                <w:highlight w:val="none"/>
              </w:rPr>
            </w:pPr>
            <w:r>
              <w:rPr>
                <w:rFonts w:hint="eastAsia" w:ascii="宋体" w:hAnsi="宋体" w:cs="宋体"/>
                <w:color w:val="auto"/>
                <w:sz w:val="24"/>
                <w:highlight w:val="none"/>
              </w:rPr>
              <w:t>4、待所有</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响应文件解密完成后，由中介服务机构操作，对所有已解密响应文件进行唱标。</w:t>
            </w:r>
          </w:p>
          <w:p w14:paraId="33EAF5CE">
            <w:pPr>
              <w:spacing w:line="360" w:lineRule="auto"/>
              <w:rPr>
                <w:rFonts w:hint="eastAsia" w:ascii="宋体" w:hAnsi="宋体" w:cs="宋体"/>
                <w:color w:val="auto"/>
                <w:sz w:val="24"/>
                <w:highlight w:val="none"/>
              </w:rPr>
            </w:pP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应保证在开标期间电话、电脑、网络能够正常工作，</w:t>
            </w:r>
            <w:r>
              <w:rPr>
                <w:rFonts w:hint="eastAsia" w:ascii="宋体" w:hAnsi="宋体" w:cs="宋体"/>
                <w:b/>
                <w:color w:val="auto"/>
                <w:sz w:val="24"/>
                <w:highlight w:val="none"/>
                <w:lang w:eastAsia="zh-CN"/>
              </w:rPr>
              <w:t>投标人</w:t>
            </w:r>
            <w:r>
              <w:rPr>
                <w:rFonts w:hint="eastAsia" w:ascii="宋体" w:hAnsi="宋体" w:cs="宋体"/>
                <w:b/>
                <w:color w:val="auto"/>
                <w:sz w:val="24"/>
                <w:highlight w:val="none"/>
              </w:rPr>
              <w:t>因停电、电脑病毒、网络堵塞等原因，未在规定的解密时间内对响应文件进行解密的，其响应文件不予接收、唱标。</w:t>
            </w:r>
          </w:p>
          <w:p w14:paraId="0FF20D85">
            <w:pPr>
              <w:spacing w:line="360" w:lineRule="auto"/>
              <w:rPr>
                <w:rFonts w:hint="eastAsia" w:ascii="宋体" w:hAnsi="宋体" w:cs="宋体"/>
                <w:color w:val="auto"/>
                <w:sz w:val="24"/>
                <w:highlight w:val="none"/>
              </w:rPr>
            </w:pPr>
            <w:r>
              <w:rPr>
                <w:rFonts w:hint="eastAsia" w:ascii="宋体" w:hAnsi="宋体" w:cs="宋体"/>
                <w:color w:val="auto"/>
                <w:sz w:val="24"/>
                <w:highlight w:val="none"/>
              </w:rPr>
              <w:t>5、评标时，评标委员会对电子化响应文件有质疑的，将通过电子化交易系统对</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发起质疑，并在监督人员的监督下，用免提模式致电需要答复的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对质疑进行回复。</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的回复文件必须以经过</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和其法定代表人签章的PDF格式文件为准，并通过电子化交易系统提交至评标委员会。</w:t>
            </w:r>
          </w:p>
          <w:p w14:paraId="32611433">
            <w:pPr>
              <w:spacing w:line="360" w:lineRule="auto"/>
              <w:rPr>
                <w:rFonts w:hint="eastAsia" w:ascii="宋体" w:hAnsi="宋体" w:cs="宋体"/>
                <w:color w:val="auto"/>
                <w:sz w:val="24"/>
                <w:highlight w:val="none"/>
              </w:rPr>
            </w:pPr>
            <w:r>
              <w:rPr>
                <w:rFonts w:hint="eastAsia" w:ascii="宋体" w:hAnsi="宋体" w:cs="宋体"/>
                <w:color w:val="auto"/>
                <w:sz w:val="24"/>
                <w:highlight w:val="none"/>
              </w:rPr>
              <w:t>6、如评标委员会对需要回复的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连续三次致电未接通的，视为</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放弃回复，评标委员会将自行对需要回复的内容进行认定。</w:t>
            </w:r>
          </w:p>
          <w:p w14:paraId="53915392">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二、相关证书原件的提交</w:t>
            </w:r>
          </w:p>
          <w:p w14:paraId="7369F1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本项目实行资格后审，以</w:t>
            </w:r>
            <w:r>
              <w:rPr>
                <w:rFonts w:hint="eastAsia" w:ascii="宋体" w:hAnsi="宋体" w:cs="宋体"/>
                <w:color w:val="auto"/>
                <w:sz w:val="24"/>
                <w:highlight w:val="none"/>
                <w:lang w:eastAsia="zh-CN"/>
              </w:rPr>
              <w:t>响应文件</w:t>
            </w:r>
            <w:r>
              <w:rPr>
                <w:rFonts w:hint="eastAsia" w:ascii="宋体" w:hAnsi="宋体" w:cs="宋体"/>
                <w:color w:val="auto"/>
                <w:sz w:val="24"/>
                <w:highlight w:val="none"/>
              </w:rPr>
              <w:t>为准，其上传资料真实性由</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自行承担，同时，</w:t>
            </w:r>
            <w:r>
              <w:rPr>
                <w:rFonts w:hint="eastAsia" w:ascii="宋体" w:hAnsi="宋体" w:cs="宋体"/>
                <w:color w:val="auto"/>
                <w:sz w:val="24"/>
                <w:highlight w:val="none"/>
                <w:lang w:val="en-US" w:eastAsia="zh-CN"/>
              </w:rPr>
              <w:t>投标人</w:t>
            </w:r>
            <w:r>
              <w:rPr>
                <w:rFonts w:hint="eastAsia" w:ascii="宋体" w:hAnsi="宋体" w:cs="宋体"/>
                <w:color w:val="auto"/>
                <w:sz w:val="24"/>
                <w:highlight w:val="none"/>
              </w:rPr>
              <w:t>要完善主体库。</w:t>
            </w:r>
          </w:p>
          <w:p w14:paraId="01990B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需应仔细阅读操作手册，保证上传内容齐全，真实有效，原件扫描件清晰可辨。因</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上传原因导致应得分项而未得分或资格审查不合格等情况的，由</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自行承担责任。</w:t>
            </w:r>
          </w:p>
          <w:p w14:paraId="015E01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highlight w:val="none"/>
              </w:rPr>
            </w:pPr>
            <w:r>
              <w:rPr>
                <w:rFonts w:hint="eastAsia" w:ascii="宋体" w:hAnsi="宋体" w:cs="宋体"/>
                <w:b/>
                <w:color w:val="auto"/>
                <w:sz w:val="24"/>
                <w:highlight w:val="none"/>
              </w:rPr>
              <w:t>提示：本项目为电子化、无纸化交易项目，为保证您能投标成功，请需仔细阅读以上条款。</w:t>
            </w:r>
          </w:p>
        </w:tc>
      </w:tr>
      <w:tr w14:paraId="421F3567">
        <w:tblPrEx>
          <w:tblCellMar>
            <w:top w:w="0" w:type="dxa"/>
            <w:left w:w="0" w:type="dxa"/>
            <w:bottom w:w="0" w:type="dxa"/>
            <w:right w:w="0" w:type="dxa"/>
          </w:tblCellMar>
        </w:tblPrEx>
        <w:trPr>
          <w:trHeight w:val="90" w:hRule="atLeast"/>
          <w:jc w:val="center"/>
        </w:trPr>
        <w:tc>
          <w:tcPr>
            <w:tcW w:w="10188" w:type="dxa"/>
            <w:gridSpan w:val="3"/>
            <w:tcBorders>
              <w:top w:val="single" w:color="auto" w:sz="4" w:space="0"/>
              <w:left w:val="single" w:color="000000" w:sz="4" w:space="0"/>
              <w:bottom w:val="single" w:color="auto" w:sz="4" w:space="0"/>
              <w:right w:val="single" w:color="000000" w:sz="4" w:space="0"/>
            </w:tcBorders>
            <w:vAlign w:val="center"/>
          </w:tcPr>
          <w:p w14:paraId="5B6349A0">
            <w:pPr>
              <w:autoSpaceDE w:val="0"/>
              <w:autoSpaceDN w:val="0"/>
              <w:adjustRightIn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10．需要补充的其他内容</w:t>
            </w:r>
          </w:p>
        </w:tc>
      </w:tr>
      <w:tr w14:paraId="41340D95">
        <w:tblPrEx>
          <w:tblCellMar>
            <w:top w:w="0" w:type="dxa"/>
            <w:left w:w="0" w:type="dxa"/>
            <w:bottom w:w="0" w:type="dxa"/>
            <w:right w:w="0" w:type="dxa"/>
          </w:tblCellMar>
        </w:tblPrEx>
        <w:trPr>
          <w:trHeight w:val="800" w:hRule="atLeast"/>
          <w:jc w:val="center"/>
        </w:trPr>
        <w:tc>
          <w:tcPr>
            <w:tcW w:w="904" w:type="dxa"/>
            <w:tcBorders>
              <w:top w:val="single" w:color="auto" w:sz="4" w:space="0"/>
              <w:left w:val="single" w:color="000000" w:sz="4" w:space="0"/>
              <w:bottom w:val="single" w:color="auto" w:sz="4" w:space="0"/>
              <w:right w:val="single" w:color="000000" w:sz="4" w:space="0"/>
            </w:tcBorders>
            <w:vAlign w:val="center"/>
          </w:tcPr>
          <w:p w14:paraId="37FEECB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p>
        </w:tc>
        <w:tc>
          <w:tcPr>
            <w:tcW w:w="2683" w:type="dxa"/>
            <w:tcBorders>
              <w:top w:val="single" w:color="auto" w:sz="4" w:space="0"/>
              <w:left w:val="single" w:color="000000" w:sz="4" w:space="0"/>
              <w:bottom w:val="single" w:color="auto" w:sz="4" w:space="0"/>
              <w:right w:val="single" w:color="000000" w:sz="4" w:space="0"/>
            </w:tcBorders>
            <w:vAlign w:val="center"/>
          </w:tcPr>
          <w:p w14:paraId="64ACB9F9">
            <w:pPr>
              <w:spacing w:line="360" w:lineRule="auto"/>
              <w:ind w:firstLine="573"/>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采购控制价</w:t>
            </w:r>
          </w:p>
        </w:tc>
        <w:tc>
          <w:tcPr>
            <w:tcW w:w="6601" w:type="dxa"/>
            <w:tcBorders>
              <w:top w:val="single" w:color="auto" w:sz="4" w:space="0"/>
              <w:left w:val="single" w:color="000000" w:sz="4" w:space="0"/>
              <w:bottom w:val="single" w:color="auto" w:sz="4" w:space="0"/>
              <w:right w:val="single" w:color="000000" w:sz="4" w:space="0"/>
            </w:tcBorders>
            <w:vAlign w:val="center"/>
          </w:tcPr>
          <w:p w14:paraId="44E161B1">
            <w:pPr>
              <w:numPr>
                <w:ilvl w:val="0"/>
                <w:numId w:val="1"/>
              </w:numPr>
              <w:spacing w:line="360" w:lineRule="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大写</w:t>
            </w:r>
            <w:r>
              <w:rPr>
                <w:rFonts w:hint="eastAsia" w:ascii="宋体" w:hAnsi="宋体" w:eastAsia="宋体" w:cs="宋体"/>
                <w:b/>
                <w:bCs/>
                <w:color w:val="auto"/>
                <w:sz w:val="24"/>
                <w:highlight w:val="none"/>
              </w:rPr>
              <w:t>：</w:t>
            </w:r>
            <w:r>
              <w:rPr>
                <w:rFonts w:hint="eastAsia" w:ascii="宋体" w:hAnsi="宋体" w:cs="宋体"/>
                <w:b/>
                <w:bCs/>
                <w:color w:val="auto"/>
                <w:sz w:val="24"/>
                <w:highlight w:val="none"/>
                <w:lang w:val="en-US" w:eastAsia="zh-CN"/>
              </w:rPr>
              <w:t xml:space="preserve">壹佰陆拾玖万柒仟叁佰柒拾元整    </w:t>
            </w:r>
          </w:p>
          <w:p w14:paraId="6157FF0F">
            <w:pPr>
              <w:numPr>
                <w:ilvl w:val="0"/>
                <w:numId w:val="0"/>
              </w:numPr>
              <w:spacing w:line="360" w:lineRule="auto"/>
              <w:ind w:firstLine="241" w:firstLineChars="100"/>
              <w:rPr>
                <w:rFonts w:hint="default" w:ascii="宋体" w:hAnsi="宋体" w:eastAsia="宋体" w:cs="宋体"/>
                <w:color w:val="auto"/>
                <w:sz w:val="24"/>
                <w:highlight w:val="none"/>
                <w:lang w:val="en-US"/>
              </w:rPr>
            </w:pPr>
            <w:r>
              <w:rPr>
                <w:rFonts w:hint="eastAsia" w:ascii="宋体" w:hAnsi="宋体" w:cs="宋体"/>
                <w:b/>
                <w:bCs/>
                <w:color w:val="auto"/>
                <w:sz w:val="24"/>
                <w:highlight w:val="none"/>
                <w:lang w:val="en-US" w:eastAsia="zh-CN"/>
              </w:rPr>
              <w:t>小写：1697370.00元</w:t>
            </w:r>
          </w:p>
          <w:p w14:paraId="33480B41">
            <w:pPr>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2.采购控制价</w:t>
            </w:r>
            <w:r>
              <w:rPr>
                <w:rFonts w:hint="eastAsia" w:ascii="宋体" w:hAnsi="宋体" w:eastAsia="宋体" w:cs="宋体"/>
                <w:color w:val="auto"/>
                <w:sz w:val="24"/>
                <w:highlight w:val="none"/>
              </w:rPr>
              <w:t>是</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rPr>
              <w:t>控制本项目的最高限价，</w:t>
            </w:r>
            <w:r>
              <w:rPr>
                <w:rFonts w:hint="eastAsia" w:ascii="宋体" w:hAnsi="宋体" w:cs="宋体"/>
                <w:color w:val="auto"/>
                <w:sz w:val="24"/>
                <w:highlight w:val="none"/>
                <w:lang w:val="en-US" w:eastAsia="zh-CN"/>
              </w:rPr>
              <w:t>高</w:t>
            </w:r>
            <w:r>
              <w:rPr>
                <w:rFonts w:hint="eastAsia" w:ascii="宋体" w:hAnsi="宋体" w:eastAsia="宋体" w:cs="宋体"/>
                <w:color w:val="auto"/>
                <w:sz w:val="24"/>
                <w:highlight w:val="none"/>
              </w:rPr>
              <w:t>于</w:t>
            </w:r>
            <w:r>
              <w:rPr>
                <w:rFonts w:hint="eastAsia" w:ascii="宋体" w:hAnsi="宋体" w:cs="宋体"/>
                <w:color w:val="auto"/>
                <w:sz w:val="24"/>
                <w:highlight w:val="none"/>
                <w:lang w:val="en-US" w:eastAsia="zh-CN"/>
              </w:rPr>
              <w:t>采购控制价</w:t>
            </w:r>
            <w:r>
              <w:rPr>
                <w:rFonts w:hint="eastAsia" w:ascii="宋体" w:hAnsi="宋体" w:eastAsia="宋体" w:cs="宋体"/>
                <w:color w:val="auto"/>
                <w:sz w:val="24"/>
                <w:highlight w:val="none"/>
              </w:rPr>
              <w:t>的投标报价将被否决投标，有效投标报价是指不超过</w:t>
            </w:r>
            <w:r>
              <w:rPr>
                <w:rFonts w:hint="eastAsia" w:ascii="宋体" w:hAnsi="宋体" w:cs="宋体"/>
                <w:color w:val="auto"/>
                <w:sz w:val="24"/>
                <w:highlight w:val="none"/>
                <w:lang w:val="en-US" w:eastAsia="zh-CN"/>
              </w:rPr>
              <w:t>采购控制价</w:t>
            </w:r>
            <w:r>
              <w:rPr>
                <w:rFonts w:hint="eastAsia" w:ascii="宋体" w:hAnsi="宋体" w:eastAsia="宋体" w:cs="宋体"/>
                <w:color w:val="auto"/>
                <w:sz w:val="24"/>
                <w:highlight w:val="none"/>
              </w:rPr>
              <w:t>的投报报价。</w:t>
            </w:r>
          </w:p>
          <w:p w14:paraId="64B9238E">
            <w:pPr>
              <w:spacing w:line="360" w:lineRule="auto"/>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eastAsia="zh-CN"/>
              </w:rPr>
              <w:t>注：</w:t>
            </w:r>
            <w:r>
              <w:rPr>
                <w:rFonts w:hint="eastAsia" w:ascii="宋体" w:hAnsi="宋体" w:eastAsia="宋体" w:cs="宋体"/>
                <w:b/>
                <w:bCs/>
                <w:color w:val="auto"/>
                <w:sz w:val="24"/>
                <w:highlight w:val="none"/>
              </w:rPr>
              <w:t>投标报价是履行合同的最终价格，包括一切设备费用、标准附件、线材、布线相关配件、线路、配件、辅件、安装、测试、存储、电费、软件开发、运维人员、改造费用、更新费用、视频监控线路传输费、设备电力接入费、软件费用、包装、劳务、管理、材料、维护、人工人力、服务器费用、备品备件、专用工具、运输、系统、系统集成、运行维护、基础电信服务、增值电信服务、装卸、保险、调试、培训、保修、维修、驻点人员费用、项目检测费、日常维护费、利润、税金等完成合同所需的一切本身和不可或缺的所有工作开支、政策性文件规定及合同包含的所有风险、责任等各项全部费用并由</w:t>
            </w:r>
            <w:r>
              <w:rPr>
                <w:rFonts w:hint="eastAsia" w:ascii="宋体" w:hAnsi="宋体" w:eastAsia="宋体" w:cs="宋体"/>
                <w:b/>
                <w:bCs/>
                <w:color w:val="auto"/>
                <w:sz w:val="24"/>
                <w:highlight w:val="none"/>
                <w:lang w:eastAsia="zh-CN"/>
              </w:rPr>
              <w:t>投标人</w:t>
            </w:r>
            <w:r>
              <w:rPr>
                <w:rFonts w:hint="eastAsia" w:ascii="宋体" w:hAnsi="宋体" w:eastAsia="宋体" w:cs="宋体"/>
                <w:b/>
                <w:bCs/>
                <w:color w:val="auto"/>
                <w:sz w:val="24"/>
                <w:highlight w:val="none"/>
              </w:rPr>
              <w:t>承担一切</w:t>
            </w:r>
            <w:r>
              <w:rPr>
                <w:rFonts w:hint="eastAsia" w:ascii="宋体" w:hAnsi="宋体" w:eastAsia="宋体" w:cs="宋体"/>
                <w:b/>
                <w:bCs/>
                <w:color w:val="auto"/>
                <w:sz w:val="24"/>
                <w:highlight w:val="none"/>
                <w:lang w:eastAsia="zh-CN"/>
              </w:rPr>
              <w:t>。</w:t>
            </w:r>
          </w:p>
        </w:tc>
      </w:tr>
      <w:tr w14:paraId="2525E6C1">
        <w:tblPrEx>
          <w:tblCellMar>
            <w:top w:w="0" w:type="dxa"/>
            <w:left w:w="0" w:type="dxa"/>
            <w:bottom w:w="0" w:type="dxa"/>
            <w:right w:w="0" w:type="dxa"/>
          </w:tblCellMar>
        </w:tblPrEx>
        <w:trPr>
          <w:trHeight w:val="800" w:hRule="atLeast"/>
          <w:jc w:val="center"/>
        </w:trPr>
        <w:tc>
          <w:tcPr>
            <w:tcW w:w="904" w:type="dxa"/>
            <w:tcBorders>
              <w:top w:val="single" w:color="auto" w:sz="4" w:space="0"/>
              <w:left w:val="single" w:color="000000" w:sz="4" w:space="0"/>
              <w:bottom w:val="single" w:color="auto" w:sz="4" w:space="0"/>
              <w:right w:val="single" w:color="000000" w:sz="4" w:space="0"/>
            </w:tcBorders>
            <w:vAlign w:val="center"/>
          </w:tcPr>
          <w:p w14:paraId="6ECA197F">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10.1.1</w:t>
            </w:r>
          </w:p>
        </w:tc>
        <w:tc>
          <w:tcPr>
            <w:tcW w:w="2683" w:type="dxa"/>
            <w:tcBorders>
              <w:top w:val="single" w:color="auto" w:sz="4" w:space="0"/>
              <w:left w:val="single" w:color="000000" w:sz="4" w:space="0"/>
              <w:bottom w:val="single" w:color="auto" w:sz="4" w:space="0"/>
              <w:right w:val="single" w:color="000000" w:sz="4" w:space="0"/>
            </w:tcBorders>
            <w:vAlign w:val="center"/>
          </w:tcPr>
          <w:p w14:paraId="72577108">
            <w:pPr>
              <w:spacing w:line="400" w:lineRule="exact"/>
              <w:jc w:val="center"/>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招标代理</w:t>
            </w:r>
            <w:r>
              <w:rPr>
                <w:rFonts w:hint="eastAsia" w:ascii="宋体" w:hAnsi="宋体" w:eastAsia="宋体" w:cs="宋体"/>
                <w:color w:val="auto"/>
                <w:sz w:val="24"/>
                <w:highlight w:val="none"/>
                <w:lang w:eastAsia="zh-CN"/>
              </w:rPr>
              <w:t>服务</w:t>
            </w:r>
            <w:r>
              <w:rPr>
                <w:rFonts w:hint="eastAsia" w:ascii="宋体" w:hAnsi="宋体" w:eastAsia="宋体" w:cs="宋体"/>
                <w:color w:val="auto"/>
                <w:sz w:val="24"/>
                <w:highlight w:val="none"/>
              </w:rPr>
              <w:t>费</w:t>
            </w:r>
          </w:p>
        </w:tc>
        <w:tc>
          <w:tcPr>
            <w:tcW w:w="6601" w:type="dxa"/>
            <w:tcBorders>
              <w:top w:val="single" w:color="auto" w:sz="4" w:space="0"/>
              <w:left w:val="single" w:color="000000" w:sz="4" w:space="0"/>
              <w:bottom w:val="single" w:color="auto" w:sz="4" w:space="0"/>
              <w:right w:val="single" w:color="000000" w:sz="4" w:space="0"/>
            </w:tcBorders>
            <w:vAlign w:val="center"/>
          </w:tcPr>
          <w:p w14:paraId="7EB3A17F">
            <w:pPr>
              <w:spacing w:line="400" w:lineRule="exact"/>
              <w:rPr>
                <w:rFonts w:hint="eastAsia" w:ascii="宋体" w:hAnsi="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zh-CN"/>
              </w:rPr>
              <w:t>招标代理服务费</w:t>
            </w:r>
            <w:r>
              <w:rPr>
                <w:rFonts w:hint="eastAsia" w:ascii="宋体" w:hAnsi="宋体" w:cs="宋体"/>
                <w:color w:val="auto"/>
                <w:kern w:val="10"/>
                <w:sz w:val="24"/>
                <w:szCs w:val="24"/>
                <w:highlight w:val="none"/>
              </w:rPr>
              <w:t>参</w:t>
            </w:r>
            <w:r>
              <w:rPr>
                <w:rFonts w:hint="eastAsia" w:ascii="宋体" w:hAnsi="宋体" w:eastAsia="宋体" w:cs="宋体"/>
                <w:color w:val="auto"/>
                <w:kern w:val="2"/>
                <w:sz w:val="24"/>
                <w:szCs w:val="24"/>
                <w:highlight w:val="none"/>
                <w:lang w:val="en-US" w:eastAsia="zh-CN" w:bidi="zh-CN"/>
              </w:rPr>
              <w:t>照</w:t>
            </w:r>
            <w:r>
              <w:rPr>
                <w:rFonts w:hint="eastAsia" w:ascii="宋体" w:hAnsi="宋体" w:cs="宋体"/>
                <w:color w:val="auto"/>
                <w:kern w:val="10"/>
                <w:sz w:val="24"/>
                <w:szCs w:val="24"/>
                <w:highlight w:val="none"/>
              </w:rPr>
              <w:t>河南省招标代理服务收费指导意见（豫招协[2023]002号）规定的收费标准计算</w:t>
            </w:r>
            <w:r>
              <w:rPr>
                <w:rFonts w:hint="eastAsia" w:ascii="宋体" w:hAnsi="宋体" w:eastAsia="宋体" w:cs="宋体"/>
                <w:color w:val="auto"/>
                <w:kern w:val="2"/>
                <w:sz w:val="24"/>
                <w:szCs w:val="24"/>
                <w:highlight w:val="none"/>
                <w:lang w:val="en-US" w:eastAsia="zh-CN" w:bidi="zh-CN"/>
              </w:rPr>
              <w:t>，领取中标通知书前由中标人支付。请各投标人投标报价时综合考虑此费用。</w:t>
            </w:r>
          </w:p>
        </w:tc>
      </w:tr>
      <w:tr w14:paraId="7EDFA2D7">
        <w:tblPrEx>
          <w:tblCellMar>
            <w:top w:w="0" w:type="dxa"/>
            <w:left w:w="0" w:type="dxa"/>
            <w:bottom w:w="0" w:type="dxa"/>
            <w:right w:w="0" w:type="dxa"/>
          </w:tblCellMar>
        </w:tblPrEx>
        <w:trPr>
          <w:trHeight w:val="64" w:hRule="atLeast"/>
          <w:jc w:val="center"/>
        </w:trPr>
        <w:tc>
          <w:tcPr>
            <w:tcW w:w="904" w:type="dxa"/>
            <w:tcBorders>
              <w:top w:val="single" w:color="auto" w:sz="4" w:space="0"/>
              <w:left w:val="single" w:color="000000" w:sz="4" w:space="0"/>
              <w:bottom w:val="single" w:color="auto" w:sz="4" w:space="0"/>
              <w:right w:val="single" w:color="000000" w:sz="4" w:space="0"/>
            </w:tcBorders>
            <w:vAlign w:val="center"/>
          </w:tcPr>
          <w:p w14:paraId="713C77A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10.2</w:t>
            </w:r>
          </w:p>
        </w:tc>
        <w:tc>
          <w:tcPr>
            <w:tcW w:w="2683" w:type="dxa"/>
            <w:tcBorders>
              <w:top w:val="single" w:color="auto" w:sz="4" w:space="0"/>
              <w:left w:val="single" w:color="000000" w:sz="4" w:space="0"/>
              <w:bottom w:val="single" w:color="auto" w:sz="4" w:space="0"/>
              <w:right w:val="single" w:color="000000" w:sz="4" w:space="0"/>
            </w:tcBorders>
            <w:vAlign w:val="center"/>
          </w:tcPr>
          <w:p w14:paraId="4A54C8D8">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其他内容</w:t>
            </w:r>
          </w:p>
        </w:tc>
        <w:tc>
          <w:tcPr>
            <w:tcW w:w="6601" w:type="dxa"/>
            <w:tcBorders>
              <w:top w:val="single" w:color="auto" w:sz="4" w:space="0"/>
              <w:left w:val="single" w:color="000000" w:sz="4" w:space="0"/>
              <w:bottom w:val="single" w:color="auto" w:sz="4" w:space="0"/>
              <w:right w:val="single" w:color="000000" w:sz="4" w:space="0"/>
            </w:tcBorders>
            <w:vAlign w:val="center"/>
          </w:tcPr>
          <w:p w14:paraId="3328881E">
            <w:pPr>
              <w:widowControl/>
              <w:spacing w:line="480" w:lineRule="exact"/>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1.本项目实行资格后审，根据优化营商环境的要求，评标时审查内容以投标（响应）文件为准：</w:t>
            </w:r>
          </w:p>
          <w:p w14:paraId="1358C4F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（1）资格评（预）审部分：资格评（预）</w:t>
            </w:r>
            <w:r>
              <w:rPr>
                <w:rFonts w:hint="eastAsia" w:ascii="宋体" w:hAnsi="宋体" w:cs="Times New Roman"/>
                <w:color w:val="auto"/>
                <w:sz w:val="24"/>
                <w:highlight w:val="none"/>
                <w:lang w:val="en-US" w:eastAsia="zh-CN"/>
              </w:rPr>
              <w:t>审</w:t>
            </w:r>
            <w:r>
              <w:rPr>
                <w:rFonts w:hint="eastAsia" w:ascii="宋体" w:hAnsi="宋体" w:eastAsia="宋体" w:cs="Times New Roman"/>
                <w:color w:val="auto"/>
                <w:sz w:val="24"/>
                <w:highlight w:val="none"/>
                <w:lang w:val="en-US" w:eastAsia="zh-CN"/>
              </w:rPr>
              <w:t>以投标（响应）文件为准，其上传资料真实性由投标人自行承担，同时，投标人要完善主体库</w:t>
            </w:r>
            <w:r>
              <w:rPr>
                <w:rFonts w:hint="eastAsia" w:ascii="宋体" w:hAnsi="宋体" w:cs="Times New Roman"/>
                <w:color w:val="auto"/>
                <w:sz w:val="24"/>
                <w:highlight w:val="none"/>
                <w:lang w:val="en-US" w:eastAsia="zh-CN"/>
              </w:rPr>
              <w:t>（主体库基本信息不作为资格审查项）</w:t>
            </w:r>
            <w:r>
              <w:rPr>
                <w:rFonts w:hint="eastAsia" w:ascii="宋体" w:hAnsi="宋体" w:eastAsia="宋体" w:cs="Times New Roman"/>
                <w:color w:val="auto"/>
                <w:sz w:val="24"/>
                <w:highlight w:val="none"/>
                <w:lang w:val="en-US" w:eastAsia="zh-CN"/>
              </w:rPr>
              <w:t>。</w:t>
            </w:r>
          </w:p>
          <w:p w14:paraId="642518A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（2）评标打分部分：评标打分部分仍按照100分制原则进行，涉及到资格审查、企业荣誉、人员业绩、企业业绩等计分部分时，以投标人自行上传到投标（响应）文件中的相应内容为准。</w:t>
            </w:r>
          </w:p>
          <w:p w14:paraId="1C539E3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 xml:space="preserve">（3）响应文件编制部分：在招标文件中要求投标人按照投标（响应）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11AFCA4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2.投标人递交的资料和投标（响应）文件不论中标与否均不予退还；</w:t>
            </w:r>
          </w:p>
          <w:p w14:paraId="4B214597">
            <w:pPr>
              <w:widowControl/>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Times New Roman"/>
                <w:color w:val="auto"/>
                <w:sz w:val="24"/>
                <w:highlight w:val="none"/>
                <w:lang w:val="en-US" w:eastAsia="zh-CN"/>
              </w:rPr>
              <w:t>3.招标人不组织投标人踏勘现场；</w:t>
            </w:r>
          </w:p>
        </w:tc>
      </w:tr>
      <w:tr w14:paraId="33CA94D9">
        <w:tblPrEx>
          <w:tblCellMar>
            <w:top w:w="0" w:type="dxa"/>
            <w:left w:w="0" w:type="dxa"/>
            <w:bottom w:w="0" w:type="dxa"/>
            <w:right w:w="0" w:type="dxa"/>
          </w:tblCellMar>
        </w:tblPrEx>
        <w:trPr>
          <w:trHeight w:val="64" w:hRule="atLeast"/>
          <w:jc w:val="center"/>
        </w:trPr>
        <w:tc>
          <w:tcPr>
            <w:tcW w:w="904" w:type="dxa"/>
            <w:tcBorders>
              <w:top w:val="single" w:color="auto" w:sz="4" w:space="0"/>
              <w:left w:val="single" w:color="000000" w:sz="4" w:space="0"/>
              <w:bottom w:val="single" w:color="auto" w:sz="4" w:space="0"/>
              <w:right w:val="single" w:color="000000" w:sz="4" w:space="0"/>
            </w:tcBorders>
            <w:vAlign w:val="center"/>
          </w:tcPr>
          <w:p w14:paraId="0FE587D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10.3</w:t>
            </w:r>
          </w:p>
        </w:tc>
        <w:tc>
          <w:tcPr>
            <w:tcW w:w="2683" w:type="dxa"/>
            <w:tcBorders>
              <w:top w:val="single" w:color="auto" w:sz="4" w:space="0"/>
              <w:left w:val="single" w:color="000000" w:sz="4" w:space="0"/>
              <w:bottom w:val="single" w:color="auto" w:sz="4" w:space="0"/>
              <w:right w:val="single" w:color="000000" w:sz="4" w:space="0"/>
            </w:tcBorders>
            <w:vAlign w:val="center"/>
          </w:tcPr>
          <w:p w14:paraId="5130212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同义词语</w:t>
            </w:r>
          </w:p>
        </w:tc>
        <w:tc>
          <w:tcPr>
            <w:tcW w:w="6601" w:type="dxa"/>
            <w:tcBorders>
              <w:top w:val="single" w:color="auto" w:sz="4" w:space="0"/>
              <w:left w:val="single" w:color="000000" w:sz="4" w:space="0"/>
              <w:bottom w:val="single" w:color="auto" w:sz="4" w:space="0"/>
              <w:right w:val="single" w:color="000000" w:sz="4" w:space="0"/>
            </w:tcBorders>
            <w:vAlign w:val="center"/>
          </w:tcPr>
          <w:p w14:paraId="301610E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构成招标文件组成部分的“合同条款”等章节中出现的措辞“甲方”和“乙方”，在招标投标阶段应当分别按“</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”和“投标人”进行理解。</w:t>
            </w:r>
          </w:p>
        </w:tc>
      </w:tr>
      <w:tr w14:paraId="5270F4EC">
        <w:tblPrEx>
          <w:tblCellMar>
            <w:top w:w="0" w:type="dxa"/>
            <w:left w:w="0" w:type="dxa"/>
            <w:bottom w:w="0" w:type="dxa"/>
            <w:right w:w="0" w:type="dxa"/>
          </w:tblCellMar>
        </w:tblPrEx>
        <w:trPr>
          <w:trHeight w:val="64" w:hRule="atLeast"/>
          <w:jc w:val="center"/>
        </w:trPr>
        <w:tc>
          <w:tcPr>
            <w:tcW w:w="904" w:type="dxa"/>
            <w:tcBorders>
              <w:top w:val="single" w:color="auto" w:sz="4" w:space="0"/>
              <w:left w:val="single" w:color="000000" w:sz="4" w:space="0"/>
              <w:bottom w:val="single" w:color="auto" w:sz="4" w:space="0"/>
              <w:right w:val="single" w:color="000000" w:sz="4" w:space="0"/>
            </w:tcBorders>
            <w:vAlign w:val="center"/>
          </w:tcPr>
          <w:p w14:paraId="5359E1A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10.4</w:t>
            </w:r>
          </w:p>
        </w:tc>
        <w:tc>
          <w:tcPr>
            <w:tcW w:w="2683" w:type="dxa"/>
            <w:tcBorders>
              <w:top w:val="single" w:color="auto" w:sz="4" w:space="0"/>
              <w:left w:val="single" w:color="000000" w:sz="4" w:space="0"/>
              <w:bottom w:val="single" w:color="auto" w:sz="4" w:space="0"/>
              <w:right w:val="single" w:color="000000" w:sz="4" w:space="0"/>
            </w:tcBorders>
            <w:vAlign w:val="center"/>
          </w:tcPr>
          <w:p w14:paraId="3F9E479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监  督</w:t>
            </w:r>
          </w:p>
        </w:tc>
        <w:tc>
          <w:tcPr>
            <w:tcW w:w="6601" w:type="dxa"/>
            <w:tcBorders>
              <w:top w:val="single" w:color="auto" w:sz="4" w:space="0"/>
              <w:left w:val="single" w:color="000000" w:sz="4" w:space="0"/>
              <w:bottom w:val="single" w:color="auto" w:sz="4" w:space="0"/>
              <w:right w:val="single" w:color="000000" w:sz="4" w:space="0"/>
            </w:tcBorders>
            <w:vAlign w:val="center"/>
          </w:tcPr>
          <w:p w14:paraId="2DD6B8F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本项目的招标投标活动及其相关当事人应当接受有管辖权的行政监督部门依法实施的监督。</w:t>
            </w:r>
          </w:p>
        </w:tc>
      </w:tr>
      <w:tr w14:paraId="0AC7340D">
        <w:tblPrEx>
          <w:tblCellMar>
            <w:top w:w="0" w:type="dxa"/>
            <w:left w:w="0" w:type="dxa"/>
            <w:bottom w:w="0" w:type="dxa"/>
            <w:right w:w="0" w:type="dxa"/>
          </w:tblCellMar>
        </w:tblPrEx>
        <w:trPr>
          <w:trHeight w:val="64" w:hRule="atLeast"/>
          <w:jc w:val="center"/>
        </w:trPr>
        <w:tc>
          <w:tcPr>
            <w:tcW w:w="904" w:type="dxa"/>
            <w:tcBorders>
              <w:top w:val="single" w:color="auto" w:sz="4" w:space="0"/>
              <w:left w:val="single" w:color="000000" w:sz="4" w:space="0"/>
              <w:bottom w:val="single" w:color="auto" w:sz="4" w:space="0"/>
              <w:right w:val="single" w:color="000000" w:sz="4" w:space="0"/>
            </w:tcBorders>
            <w:vAlign w:val="center"/>
          </w:tcPr>
          <w:p w14:paraId="3F0AECAB">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10.5</w:t>
            </w:r>
          </w:p>
        </w:tc>
        <w:tc>
          <w:tcPr>
            <w:tcW w:w="2683" w:type="dxa"/>
            <w:tcBorders>
              <w:top w:val="single" w:color="auto" w:sz="4" w:space="0"/>
              <w:left w:val="single" w:color="000000" w:sz="4" w:space="0"/>
              <w:bottom w:val="single" w:color="auto" w:sz="4" w:space="0"/>
              <w:right w:val="single" w:color="000000" w:sz="4" w:space="0"/>
            </w:tcBorders>
            <w:vAlign w:val="center"/>
          </w:tcPr>
          <w:p w14:paraId="30CD502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解释权</w:t>
            </w:r>
          </w:p>
        </w:tc>
        <w:tc>
          <w:tcPr>
            <w:tcW w:w="6601" w:type="dxa"/>
            <w:tcBorders>
              <w:top w:val="single" w:color="auto" w:sz="4" w:space="0"/>
              <w:left w:val="single" w:color="000000" w:sz="4" w:space="0"/>
              <w:bottom w:val="single" w:color="auto" w:sz="4" w:space="0"/>
              <w:right w:val="single" w:color="000000" w:sz="4" w:space="0"/>
            </w:tcBorders>
            <w:vAlign w:val="center"/>
          </w:tcPr>
          <w:p w14:paraId="32C4FE6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负责解释。</w:t>
            </w:r>
          </w:p>
        </w:tc>
      </w:tr>
      <w:tr w14:paraId="390BC329">
        <w:tblPrEx>
          <w:tblCellMar>
            <w:top w:w="0" w:type="dxa"/>
            <w:left w:w="0" w:type="dxa"/>
            <w:bottom w:w="0" w:type="dxa"/>
            <w:right w:w="0" w:type="dxa"/>
          </w:tblCellMar>
        </w:tblPrEx>
        <w:trPr>
          <w:trHeight w:val="768" w:hRule="atLeast"/>
          <w:jc w:val="center"/>
        </w:trPr>
        <w:tc>
          <w:tcPr>
            <w:tcW w:w="904" w:type="dxa"/>
            <w:tcBorders>
              <w:top w:val="single" w:color="auto" w:sz="4" w:space="0"/>
              <w:left w:val="single" w:color="000000" w:sz="4" w:space="0"/>
              <w:bottom w:val="single" w:color="auto" w:sz="4" w:space="0"/>
              <w:right w:val="single" w:color="000000" w:sz="4" w:space="0"/>
            </w:tcBorders>
            <w:vAlign w:val="center"/>
          </w:tcPr>
          <w:p w14:paraId="4B84EE8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10.6</w:t>
            </w:r>
          </w:p>
        </w:tc>
        <w:tc>
          <w:tcPr>
            <w:tcW w:w="2683" w:type="dxa"/>
            <w:tcBorders>
              <w:top w:val="single" w:color="auto" w:sz="4" w:space="0"/>
              <w:left w:val="single" w:color="000000" w:sz="4" w:space="0"/>
              <w:bottom w:val="single" w:color="auto" w:sz="4" w:space="0"/>
              <w:right w:val="single" w:color="000000" w:sz="4" w:space="0"/>
            </w:tcBorders>
            <w:vAlign w:val="center"/>
          </w:tcPr>
          <w:p w14:paraId="2BE49D9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其他补充内容</w:t>
            </w:r>
          </w:p>
        </w:tc>
        <w:tc>
          <w:tcPr>
            <w:tcW w:w="6601" w:type="dxa"/>
            <w:tcBorders>
              <w:top w:val="single" w:color="auto" w:sz="4" w:space="0"/>
              <w:left w:val="single" w:color="000000" w:sz="4" w:space="0"/>
              <w:bottom w:val="single" w:color="auto" w:sz="4" w:space="0"/>
              <w:right w:val="single" w:color="000000" w:sz="4" w:space="0"/>
            </w:tcBorders>
            <w:vAlign w:val="center"/>
          </w:tcPr>
          <w:p w14:paraId="3D0ED20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承包人未经发包人同意，不得将所承包</w:t>
            </w:r>
            <w:r>
              <w:rPr>
                <w:rFonts w:hint="eastAsia" w:ascii="宋体" w:hAnsi="宋体" w:cs="宋体"/>
                <w:color w:val="auto"/>
                <w:sz w:val="24"/>
                <w:highlight w:val="none"/>
                <w:lang w:val="en-US" w:eastAsia="zh-CN"/>
              </w:rPr>
              <w:t>项目</w:t>
            </w:r>
            <w:r>
              <w:rPr>
                <w:rFonts w:hint="eastAsia" w:ascii="宋体" w:hAnsi="宋体" w:eastAsia="宋体" w:cs="宋体"/>
                <w:color w:val="auto"/>
                <w:sz w:val="24"/>
                <w:highlight w:val="none"/>
              </w:rPr>
              <w:t>的任何部分分包，也不允许转包给他人，更不得将其承包的全部</w:t>
            </w:r>
            <w:r>
              <w:rPr>
                <w:rFonts w:hint="eastAsia" w:ascii="宋体" w:hAnsi="宋体" w:cs="宋体"/>
                <w:color w:val="auto"/>
                <w:sz w:val="24"/>
                <w:highlight w:val="none"/>
                <w:lang w:val="en-US" w:eastAsia="zh-CN"/>
              </w:rPr>
              <w:t>项目</w:t>
            </w:r>
            <w:r>
              <w:rPr>
                <w:rFonts w:hint="eastAsia" w:ascii="宋体" w:hAnsi="宋体" w:eastAsia="宋体" w:cs="宋体"/>
                <w:color w:val="auto"/>
                <w:sz w:val="24"/>
                <w:highlight w:val="none"/>
              </w:rPr>
              <w:t>肢解以后以分包的名义分别转包给他人。如发现转包，发包人有权终止合同，由此而造成的经济损失，由承包人负责赔偿。</w:t>
            </w:r>
          </w:p>
        </w:tc>
      </w:tr>
      <w:tr w14:paraId="4B4573F9">
        <w:tblPrEx>
          <w:tblCellMar>
            <w:top w:w="0" w:type="dxa"/>
            <w:left w:w="0" w:type="dxa"/>
            <w:bottom w:w="0" w:type="dxa"/>
            <w:right w:w="0" w:type="dxa"/>
          </w:tblCellMar>
        </w:tblPrEx>
        <w:trPr>
          <w:trHeight w:val="768" w:hRule="atLeast"/>
          <w:jc w:val="center"/>
        </w:trPr>
        <w:tc>
          <w:tcPr>
            <w:tcW w:w="904" w:type="dxa"/>
            <w:tcBorders>
              <w:top w:val="single" w:color="auto" w:sz="4" w:space="0"/>
              <w:left w:val="single" w:color="000000" w:sz="4" w:space="0"/>
              <w:bottom w:val="single" w:color="auto" w:sz="4" w:space="0"/>
              <w:right w:val="single" w:color="000000" w:sz="4" w:space="0"/>
            </w:tcBorders>
            <w:vAlign w:val="center"/>
          </w:tcPr>
          <w:p w14:paraId="55A705A9">
            <w:pPr>
              <w:spacing w:line="360" w:lineRule="auto"/>
              <w:jc w:val="center"/>
              <w:rPr>
                <w:rFonts w:hint="default" w:ascii="宋体" w:hAnsi="宋体" w:eastAsia="宋体" w:cs="宋体"/>
                <w:color w:val="auto"/>
                <w:sz w:val="24"/>
                <w:highlight w:val="none"/>
                <w:lang w:val="en-US" w:eastAsia="zh-CN"/>
              </w:rPr>
            </w:pPr>
            <w:bookmarkStart w:id="110" w:name="_Toc1846"/>
            <w:bookmarkStart w:id="111" w:name="_Toc25288"/>
            <w:bookmarkStart w:id="112" w:name="_Toc15756"/>
            <w:bookmarkStart w:id="113" w:name="_Toc505093158"/>
            <w:bookmarkStart w:id="114" w:name="_Toc2559"/>
            <w:bookmarkStart w:id="115" w:name="_Toc32727"/>
            <w:bookmarkStart w:id="116" w:name="_Toc9497"/>
            <w:r>
              <w:rPr>
                <w:rFonts w:hint="eastAsia" w:ascii="宋体" w:hAnsi="宋体" w:cs="宋体"/>
                <w:color w:val="auto"/>
                <w:sz w:val="24"/>
                <w:highlight w:val="none"/>
                <w:lang w:val="en-US" w:eastAsia="zh-CN"/>
              </w:rPr>
              <w:t>10.7</w:t>
            </w:r>
          </w:p>
        </w:tc>
        <w:tc>
          <w:tcPr>
            <w:tcW w:w="2683" w:type="dxa"/>
            <w:tcBorders>
              <w:top w:val="single" w:color="auto" w:sz="4" w:space="0"/>
              <w:left w:val="single" w:color="000000" w:sz="4" w:space="0"/>
              <w:bottom w:val="single" w:color="auto" w:sz="4" w:space="0"/>
              <w:right w:val="single" w:color="000000" w:sz="4" w:space="0"/>
            </w:tcBorders>
            <w:vAlign w:val="center"/>
          </w:tcPr>
          <w:p w14:paraId="1C632C15">
            <w:pPr>
              <w:spacing w:line="360" w:lineRule="auto"/>
              <w:jc w:val="center"/>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付款方式</w:t>
            </w:r>
          </w:p>
        </w:tc>
        <w:tc>
          <w:tcPr>
            <w:tcW w:w="6601" w:type="dxa"/>
            <w:tcBorders>
              <w:top w:val="single" w:color="auto" w:sz="4" w:space="0"/>
              <w:left w:val="single" w:color="000000" w:sz="4" w:space="0"/>
              <w:bottom w:val="single" w:color="auto" w:sz="4" w:space="0"/>
              <w:right w:val="single" w:color="000000" w:sz="4" w:space="0"/>
            </w:tcBorders>
            <w:vAlign w:val="center"/>
          </w:tcPr>
          <w:p w14:paraId="023EEEE7">
            <w:pPr>
              <w:numPr>
                <w:ilvl w:val="0"/>
                <w:numId w:val="0"/>
              </w:numPr>
              <w:spacing w:line="360" w:lineRule="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lang w:val="en-US" w:eastAsia="zh-CN"/>
              </w:rPr>
              <w:t>本合同签订后，乙方完成项目总工程量的50%，甲方于</w:t>
            </w: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lang w:val="en-US" w:eastAsia="zh-CN"/>
              </w:rPr>
              <w:t>个工作日内支付合同总金额的30%；</w:t>
            </w:r>
          </w:p>
          <w:p w14:paraId="34E0C668">
            <w:pPr>
              <w:numPr>
                <w:ilvl w:val="0"/>
                <w:numId w:val="0"/>
              </w:numPr>
              <w:spacing w:line="360" w:lineRule="auto"/>
              <w:ind w:leftChars="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lang w:val="en-US" w:eastAsia="zh-CN"/>
              </w:rPr>
              <w:t>项目全部完工后，甲方于</w:t>
            </w: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lang w:val="en-US" w:eastAsia="zh-CN"/>
              </w:rPr>
              <w:t>个工作日内支付至合同总金额的60%</w:t>
            </w:r>
            <w:r>
              <w:rPr>
                <w:rFonts w:hint="eastAsia" w:ascii="宋体" w:hAnsi="宋体" w:cs="宋体"/>
                <w:b/>
                <w:bCs/>
                <w:color w:val="auto"/>
                <w:sz w:val="24"/>
                <w:highlight w:val="none"/>
                <w:lang w:val="en-US" w:eastAsia="zh-CN"/>
              </w:rPr>
              <w:t>；</w:t>
            </w:r>
          </w:p>
          <w:p w14:paraId="2871386B">
            <w:pPr>
              <w:numPr>
                <w:ilvl w:val="0"/>
                <w:numId w:val="0"/>
              </w:numPr>
              <w:spacing w:line="360" w:lineRule="auto"/>
              <w:ind w:leftChars="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（3）项目经甲方验收合格后，甲方于7个工作日内支付至合同总金额的90%；</w:t>
            </w:r>
          </w:p>
          <w:p w14:paraId="69D56E42">
            <w:pPr>
              <w:numPr>
                <w:ilvl w:val="0"/>
                <w:numId w:val="0"/>
              </w:numPr>
              <w:spacing w:line="360" w:lineRule="auto"/>
              <w:ind w:leftChars="0"/>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（4）剩余合同总金额的10%作为质保金，自项目验收合格之日起，至质保期满且无质量问题后，甲方于7个工作日内一次性付清。</w:t>
            </w:r>
            <w:r>
              <w:rPr>
                <w:rFonts w:hint="eastAsia" w:ascii="宋体" w:hAnsi="宋体" w:cs="宋体"/>
                <w:b/>
                <w:bCs/>
                <w:color w:val="auto"/>
                <w:sz w:val="24"/>
                <w:highlight w:val="none"/>
                <w:lang w:val="en-US" w:eastAsia="zh-CN"/>
              </w:rPr>
              <w:t>（注：质保仅针对平台建设及监控补点建设）</w:t>
            </w:r>
          </w:p>
        </w:tc>
      </w:tr>
    </w:tbl>
    <w:p w14:paraId="1CA8721D">
      <w:pPr>
        <w:pStyle w:val="4"/>
        <w:spacing w:before="0" w:after="0" w:line="360" w:lineRule="auto"/>
        <w:outlineLvl w:val="1"/>
        <w:rPr>
          <w:rFonts w:hint="eastAsia" w:ascii="宋体" w:hAnsi="宋体" w:eastAsia="宋体" w:cs="宋体"/>
          <w:color w:val="auto"/>
          <w:sz w:val="24"/>
          <w:szCs w:val="24"/>
          <w:highlight w:val="none"/>
        </w:rPr>
      </w:pPr>
    </w:p>
    <w:p w14:paraId="74425BE7">
      <w:pPr>
        <w:pStyle w:val="4"/>
        <w:spacing w:before="0" w:after="0" w:line="360" w:lineRule="auto"/>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1.总则</w:t>
      </w:r>
      <w:bookmarkEnd w:id="110"/>
      <w:bookmarkEnd w:id="111"/>
      <w:bookmarkEnd w:id="112"/>
      <w:bookmarkEnd w:id="113"/>
      <w:bookmarkEnd w:id="114"/>
      <w:bookmarkEnd w:id="115"/>
      <w:bookmarkEnd w:id="116"/>
    </w:p>
    <w:p w14:paraId="59C8B3B8">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1.1招标项目概况</w:t>
      </w:r>
    </w:p>
    <w:p w14:paraId="09E74C5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1.1.1根据有关法律、法规和规章的规定，本招标项目已具备招标条件，现对本项目进行招标。</w:t>
      </w:r>
    </w:p>
    <w:p w14:paraId="47C59DA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：见投标人须知前附表。</w:t>
      </w:r>
    </w:p>
    <w:p w14:paraId="58FA23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cs="宋体"/>
          <w:color w:val="auto"/>
          <w:sz w:val="24"/>
          <w:highlight w:val="none"/>
          <w:lang w:eastAsia="zh-CN"/>
        </w:rPr>
        <w:t>采购代理机构</w:t>
      </w:r>
      <w:r>
        <w:rPr>
          <w:rFonts w:hint="eastAsia" w:ascii="宋体" w:hAnsi="宋体" w:eastAsia="宋体" w:cs="宋体"/>
          <w:color w:val="auto"/>
          <w:sz w:val="24"/>
          <w:highlight w:val="none"/>
        </w:rPr>
        <w:t>：见投标人须知前附表。</w:t>
      </w:r>
    </w:p>
    <w:p w14:paraId="6F64D16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1.1.4项目名称：见投标人须知前附表。</w:t>
      </w:r>
    </w:p>
    <w:p w14:paraId="3879DC9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1.1.5项目地点：见投标人须知前附表。</w:t>
      </w:r>
    </w:p>
    <w:p w14:paraId="2676A0B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1.1.6项目标段划分：见投标人须知前附表。</w:t>
      </w:r>
    </w:p>
    <w:p w14:paraId="2F7F79FB">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1.2招标项目的资金来源和落实情况</w:t>
      </w:r>
    </w:p>
    <w:p w14:paraId="36EF123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1.2.1资金来源及比例：见投标人须知前附表。</w:t>
      </w:r>
    </w:p>
    <w:p w14:paraId="2FA715B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1.2.2资金落实情况：见投标人须知前附表。</w:t>
      </w:r>
    </w:p>
    <w:p w14:paraId="41727766">
      <w:pPr>
        <w:pStyle w:val="98"/>
        <w:ind w:firstLine="1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1.3</w:t>
      </w:r>
      <w:r>
        <w:rPr>
          <w:rFonts w:hint="eastAsia" w:ascii="宋体" w:hAnsi="宋体" w:eastAsia="宋体" w:cs="宋体"/>
          <w:color w:val="auto"/>
          <w:sz w:val="24"/>
          <w:highlight w:val="none"/>
          <w:lang w:val="en-US" w:eastAsia="zh-CN"/>
        </w:rPr>
        <w:t>服务期</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服务标准</w:t>
      </w:r>
    </w:p>
    <w:p w14:paraId="6C3A7F0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cs="宋体"/>
          <w:color w:val="auto"/>
          <w:sz w:val="24"/>
          <w:highlight w:val="none"/>
          <w:lang w:val="en-US" w:eastAsia="zh-CN"/>
        </w:rPr>
        <w:t>服务期</w:t>
      </w:r>
      <w:r>
        <w:rPr>
          <w:rFonts w:hint="eastAsia" w:ascii="宋体" w:hAnsi="宋体" w:eastAsia="宋体" w:cs="宋体"/>
          <w:color w:val="auto"/>
          <w:sz w:val="24"/>
          <w:highlight w:val="none"/>
        </w:rPr>
        <w:t>：见投标人须知前附表。</w:t>
      </w:r>
    </w:p>
    <w:p w14:paraId="4BB52D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cs="宋体"/>
          <w:color w:val="auto"/>
          <w:sz w:val="24"/>
          <w:highlight w:val="none"/>
          <w:lang w:eastAsia="zh-CN"/>
        </w:rPr>
        <w:t>服务标准</w:t>
      </w:r>
      <w:r>
        <w:rPr>
          <w:rFonts w:hint="eastAsia" w:ascii="宋体" w:hAnsi="宋体" w:eastAsia="宋体" w:cs="宋体"/>
          <w:color w:val="auto"/>
          <w:sz w:val="24"/>
          <w:highlight w:val="none"/>
        </w:rPr>
        <w:t>：见投标人须知前附表。</w:t>
      </w:r>
    </w:p>
    <w:p w14:paraId="6640CB24">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1.4投标人资格要求</w:t>
      </w:r>
    </w:p>
    <w:p w14:paraId="14B37B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1.4.1投标人应具备承担本招标项目资质条件：</w:t>
      </w:r>
    </w:p>
    <w:p w14:paraId="6EA64159">
      <w:pPr>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资质要求：符合投标人须知第1.4.1款规定；</w:t>
      </w:r>
    </w:p>
    <w:p w14:paraId="18D62016">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1.4.2本项目</w:t>
      </w:r>
      <w:r>
        <w:rPr>
          <w:rFonts w:hint="eastAsia" w:ascii="宋体" w:hAnsi="宋体" w:cs="宋体"/>
          <w:color w:val="auto"/>
          <w:sz w:val="24"/>
          <w:highlight w:val="none"/>
          <w:lang w:val="en-US" w:eastAsia="zh-CN"/>
        </w:rPr>
        <w:t>不</w:t>
      </w:r>
      <w:r>
        <w:rPr>
          <w:rFonts w:hint="eastAsia" w:ascii="宋体" w:hAnsi="宋体" w:eastAsia="宋体" w:cs="宋体"/>
          <w:color w:val="auto"/>
          <w:sz w:val="24"/>
          <w:highlight w:val="none"/>
        </w:rPr>
        <w:t>接受联合体投标。</w:t>
      </w:r>
    </w:p>
    <w:p w14:paraId="75FF4A2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1.4.3投标人不得存在下列情形之一：</w:t>
      </w:r>
    </w:p>
    <w:p w14:paraId="7C80F4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（1）为</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不具有独立法人资格的附属机构（单位）；</w:t>
      </w:r>
    </w:p>
    <w:p w14:paraId="3833A4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（2）与</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存在利害关系且可能影响招标公正性；</w:t>
      </w:r>
    </w:p>
    <w:p w14:paraId="2C392A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（3）与本招标项目的其他投标人为同一个单位负责人；</w:t>
      </w:r>
    </w:p>
    <w:p w14:paraId="207357E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（4）与本招标项目的其他投标人存在控股、管理关系；</w:t>
      </w:r>
    </w:p>
    <w:p w14:paraId="6FC55D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（5）为本招标项目的代建人；</w:t>
      </w:r>
    </w:p>
    <w:p w14:paraId="32C5637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（6）为本招标项目的</w:t>
      </w:r>
      <w:r>
        <w:rPr>
          <w:rFonts w:hint="eastAsia" w:ascii="宋体" w:hAnsi="宋体" w:cs="宋体"/>
          <w:color w:val="auto"/>
          <w:sz w:val="24"/>
          <w:highlight w:val="none"/>
          <w:lang w:eastAsia="zh-CN"/>
        </w:rPr>
        <w:t>采购代理机构</w:t>
      </w:r>
      <w:r>
        <w:rPr>
          <w:rFonts w:hint="eastAsia" w:ascii="宋体" w:hAnsi="宋体" w:eastAsia="宋体" w:cs="宋体"/>
          <w:color w:val="auto"/>
          <w:sz w:val="24"/>
          <w:highlight w:val="none"/>
        </w:rPr>
        <w:t>；</w:t>
      </w:r>
    </w:p>
    <w:p w14:paraId="7E4F2F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（7）与本招标项目的代建人或</w:t>
      </w:r>
      <w:r>
        <w:rPr>
          <w:rFonts w:hint="eastAsia" w:ascii="宋体" w:hAnsi="宋体" w:cs="宋体"/>
          <w:color w:val="auto"/>
          <w:sz w:val="24"/>
          <w:highlight w:val="none"/>
          <w:lang w:eastAsia="zh-CN"/>
        </w:rPr>
        <w:t>采购代理机构</w:t>
      </w:r>
      <w:r>
        <w:rPr>
          <w:rFonts w:hint="eastAsia" w:ascii="宋体" w:hAnsi="宋体" w:eastAsia="宋体" w:cs="宋体"/>
          <w:color w:val="auto"/>
          <w:sz w:val="24"/>
          <w:highlight w:val="none"/>
        </w:rPr>
        <w:t>同为一个法定代表人；</w:t>
      </w:r>
    </w:p>
    <w:p w14:paraId="2BB9482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（8）与本招标项目的代建人或</w:t>
      </w:r>
      <w:r>
        <w:rPr>
          <w:rFonts w:hint="eastAsia" w:ascii="宋体" w:hAnsi="宋体" w:cs="宋体"/>
          <w:color w:val="auto"/>
          <w:sz w:val="24"/>
          <w:highlight w:val="none"/>
          <w:lang w:eastAsia="zh-CN"/>
        </w:rPr>
        <w:t>采购代理机构</w:t>
      </w:r>
      <w:r>
        <w:rPr>
          <w:rFonts w:hint="eastAsia" w:ascii="宋体" w:hAnsi="宋体" w:eastAsia="宋体" w:cs="宋体"/>
          <w:color w:val="auto"/>
          <w:sz w:val="24"/>
          <w:highlight w:val="none"/>
        </w:rPr>
        <w:t>存在控股或参股关系；</w:t>
      </w:r>
    </w:p>
    <w:p w14:paraId="2AF69E4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（9）被依法暂停或者取消投标资格；</w:t>
      </w:r>
    </w:p>
    <w:p w14:paraId="12C9D3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（10）被责令停产停业、暂扣或者吊销许可证、暂扣或者吊销执照；</w:t>
      </w:r>
    </w:p>
    <w:p w14:paraId="152A0BD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（11）进入清算程序，或被宣告破产，或其他丧失履约能力的情形；</w:t>
      </w:r>
    </w:p>
    <w:p w14:paraId="0AC4F6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（12）在最近三年内发生重大质量问题（以相关行业主管部门的行政处罚决定或司法机关出具的有关法律文书为准）；</w:t>
      </w:r>
    </w:p>
    <w:p w14:paraId="4045733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（13）在近三年内投标人或其法定代表人有行贿犯罪行为的（以检察机关职务犯罪预防部门出具的查询结果为准）；</w:t>
      </w:r>
    </w:p>
    <w:p w14:paraId="6E3E3D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（14）法律法规或投标人须知前附表规定的其他情形。</w:t>
      </w:r>
    </w:p>
    <w:p w14:paraId="7B2D4CF9">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1.5费用承担</w:t>
      </w:r>
    </w:p>
    <w:p w14:paraId="7EFF90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投标人准备和参加投标活动发生的费用自理。</w:t>
      </w:r>
    </w:p>
    <w:p w14:paraId="325A6E33">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1.6保密</w:t>
      </w:r>
    </w:p>
    <w:p w14:paraId="0B106A0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参与招标投标活动的各方应对招标文件和投标文件中的商业和技术等秘密保密，否则应承担相应的法律责任。</w:t>
      </w:r>
    </w:p>
    <w:p w14:paraId="1D715486">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1.7语言文字</w:t>
      </w:r>
    </w:p>
    <w:p w14:paraId="3E8E6E6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招标投标文件使用的语言文字为中文。专用术语使用外文的，应附有中文注释。</w:t>
      </w:r>
    </w:p>
    <w:p w14:paraId="08444020">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1.8计量单位</w:t>
      </w:r>
    </w:p>
    <w:p w14:paraId="581BE5C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所有计量均采用中华人民共和国法定计量单位。</w:t>
      </w:r>
    </w:p>
    <w:p w14:paraId="152AD15F">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1.9踏勘现场</w:t>
      </w:r>
    </w:p>
    <w:p w14:paraId="577D1A27">
      <w:pPr>
        <w:pStyle w:val="98"/>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不组织。</w:t>
      </w:r>
    </w:p>
    <w:p w14:paraId="43BC85D5">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1.10投标预备会</w:t>
      </w:r>
    </w:p>
    <w:p w14:paraId="222C9149">
      <w:pPr>
        <w:pStyle w:val="98"/>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p w14:paraId="7F05F337">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1.12响应和偏差</w:t>
      </w:r>
    </w:p>
    <w:p w14:paraId="17FFA05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1.12.1投标文件应当对招标文件的实质性要求和条件作出满足性或更有利于</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的响应，否则，投标人的投标将被否决。实质性要求和条件见投标人须知前附表。</w:t>
      </w:r>
    </w:p>
    <w:p w14:paraId="6B1C1F4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1.12.2投标人须知前附表允许投标文件偏离招标文件某些要求的，偏差应当符合招标文件规定的偏差范围和幅度。</w:t>
      </w:r>
    </w:p>
    <w:p w14:paraId="04CE1732">
      <w:pPr>
        <w:pStyle w:val="4"/>
        <w:spacing w:before="0" w:after="0" w:line="360" w:lineRule="auto"/>
        <w:outlineLvl w:val="1"/>
        <w:rPr>
          <w:rFonts w:hint="eastAsia" w:ascii="宋体" w:hAnsi="宋体" w:eastAsia="宋体" w:cs="宋体"/>
          <w:color w:val="auto"/>
          <w:sz w:val="24"/>
          <w:szCs w:val="24"/>
          <w:highlight w:val="none"/>
        </w:rPr>
      </w:pPr>
      <w:bookmarkStart w:id="117" w:name="_Toc14274"/>
      <w:bookmarkStart w:id="118" w:name="_Toc19159"/>
      <w:bookmarkStart w:id="119" w:name="_Toc505093159"/>
      <w:bookmarkStart w:id="120" w:name="_Toc3009"/>
      <w:bookmarkStart w:id="121" w:name="_Toc6314"/>
      <w:bookmarkStart w:id="122" w:name="_Toc9011"/>
      <w:bookmarkStart w:id="123" w:name="_Toc31914"/>
      <w:r>
        <w:rPr>
          <w:rFonts w:hint="eastAsia" w:ascii="宋体" w:hAnsi="宋体" w:eastAsia="宋体" w:cs="宋体"/>
          <w:color w:val="auto"/>
          <w:sz w:val="24"/>
          <w:szCs w:val="24"/>
          <w:highlight w:val="none"/>
        </w:rPr>
        <w:t>2.招标文件</w:t>
      </w:r>
      <w:bookmarkEnd w:id="117"/>
      <w:bookmarkEnd w:id="118"/>
      <w:bookmarkEnd w:id="119"/>
      <w:bookmarkEnd w:id="120"/>
      <w:bookmarkEnd w:id="121"/>
      <w:bookmarkEnd w:id="122"/>
      <w:bookmarkEnd w:id="123"/>
    </w:p>
    <w:p w14:paraId="11B42FB8">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2.1招标文件的组成</w:t>
      </w:r>
    </w:p>
    <w:p w14:paraId="1EDD77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本招标文件包括：</w:t>
      </w:r>
    </w:p>
    <w:p w14:paraId="1FD6A5E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（1）招标公告；</w:t>
      </w:r>
    </w:p>
    <w:p w14:paraId="368023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（2）投标人须知；</w:t>
      </w:r>
    </w:p>
    <w:p w14:paraId="16F0365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（3）评标办法（综合评分法）；</w:t>
      </w:r>
    </w:p>
    <w:p w14:paraId="4BF871C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（4）合同条款及格式；</w:t>
      </w:r>
    </w:p>
    <w:p w14:paraId="6FEF08D6">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（5）服务内容及要求</w:t>
      </w:r>
      <w:r>
        <w:rPr>
          <w:rFonts w:hint="eastAsia" w:ascii="宋体" w:hAnsi="宋体" w:cs="宋体"/>
          <w:color w:val="auto"/>
          <w:sz w:val="24"/>
          <w:highlight w:val="none"/>
          <w:lang w:eastAsia="zh-CN"/>
        </w:rPr>
        <w:t>；</w:t>
      </w:r>
    </w:p>
    <w:p w14:paraId="37817AB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（6）投标文件格式。</w:t>
      </w:r>
    </w:p>
    <w:p w14:paraId="4D2E9F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根据本章第2.2款和第2.3款对招标文件所作的澄清、修改，构成招标文件的组成部分。</w:t>
      </w:r>
    </w:p>
    <w:p w14:paraId="16A5FD82">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2.2招标文件的澄清</w:t>
      </w:r>
    </w:p>
    <w:p w14:paraId="67E2BB6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2.2.1投标人应仔细阅读和检查招标文件的全部内容。如发现缺页或附件不全，应及时向</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提出，以便补齐。如有疑问，应按投标人须知前附表规定的时间和形式将提出的问题送达</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，要求</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对招标文件予以澄清。</w:t>
      </w:r>
    </w:p>
    <w:p w14:paraId="16C548A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14:paraId="5CFF9F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2.2.3投标人在收到澄清后，应按投标人须知前附表规定的时间和形式通知</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，确认已收到该澄清。</w:t>
      </w:r>
    </w:p>
    <w:p w14:paraId="3035DCD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2.2.4除非</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认为确有必要答复，否则，</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有权拒绝回复投标人在本章第2.2.1项规定的时间后的任何澄清要求。</w:t>
      </w:r>
    </w:p>
    <w:p w14:paraId="07AEDEDB">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2.3招标文件的修改</w:t>
      </w:r>
    </w:p>
    <w:p w14:paraId="7DDACC1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14:paraId="19E430D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2.3.2投标人收到修改内容后，应按投标人须知前附表规定的时间和形式通知</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，确认已收到该修改。</w:t>
      </w:r>
    </w:p>
    <w:p w14:paraId="5E36997D">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2.4招标文件的异议</w:t>
      </w:r>
    </w:p>
    <w:p w14:paraId="024CA4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投标人或者其他利害关系人对招标文件有异议的，应当在投标截止时间10日前以书面形式提出。</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将在收到异议之日起3日内作出答复；作出答复前，将暂停招标投标活动。</w:t>
      </w:r>
    </w:p>
    <w:p w14:paraId="3BB5D618">
      <w:pPr>
        <w:pStyle w:val="4"/>
        <w:spacing w:before="0" w:after="0" w:line="360" w:lineRule="auto"/>
        <w:outlineLvl w:val="1"/>
        <w:rPr>
          <w:rFonts w:hint="eastAsia" w:ascii="宋体" w:hAnsi="宋体" w:eastAsia="宋体" w:cs="宋体"/>
          <w:color w:val="auto"/>
          <w:sz w:val="24"/>
          <w:szCs w:val="24"/>
          <w:highlight w:val="none"/>
        </w:rPr>
      </w:pPr>
      <w:bookmarkStart w:id="124" w:name="_Toc29507"/>
      <w:bookmarkStart w:id="125" w:name="_Toc31156"/>
      <w:bookmarkStart w:id="126" w:name="_Toc505093160"/>
      <w:bookmarkStart w:id="127" w:name="_Toc4350"/>
      <w:bookmarkStart w:id="128" w:name="_Toc15995"/>
      <w:bookmarkStart w:id="129" w:name="_Toc11894"/>
      <w:bookmarkStart w:id="130" w:name="_Toc24855"/>
      <w:r>
        <w:rPr>
          <w:rFonts w:hint="eastAsia" w:ascii="宋体" w:hAnsi="宋体" w:eastAsia="宋体" w:cs="宋体"/>
          <w:color w:val="auto"/>
          <w:sz w:val="24"/>
          <w:szCs w:val="24"/>
          <w:highlight w:val="none"/>
        </w:rPr>
        <w:t>3.投标文件</w:t>
      </w:r>
      <w:bookmarkEnd w:id="124"/>
      <w:bookmarkEnd w:id="125"/>
      <w:bookmarkEnd w:id="126"/>
      <w:bookmarkEnd w:id="127"/>
      <w:bookmarkEnd w:id="128"/>
      <w:bookmarkEnd w:id="129"/>
      <w:bookmarkEnd w:id="130"/>
    </w:p>
    <w:p w14:paraId="5F23A91E">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3.1投标文件的组成</w:t>
      </w:r>
    </w:p>
    <w:p w14:paraId="664F5F8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3.1.1投标文件应包括下列内容：</w:t>
      </w:r>
    </w:p>
    <w:p w14:paraId="1AAFCCC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一、投标函及投标函附录</w:t>
      </w:r>
    </w:p>
    <w:p w14:paraId="0F6431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二、法定代表人身份证明</w:t>
      </w:r>
    </w:p>
    <w:p w14:paraId="34FE7582">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三、授权委托书</w:t>
      </w:r>
    </w:p>
    <w:p w14:paraId="6C0208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、资格审查资料</w:t>
      </w:r>
    </w:p>
    <w:p w14:paraId="31171B9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项目管理机构</w:t>
      </w:r>
    </w:p>
    <w:p w14:paraId="3D6CD45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企业业绩</w:t>
      </w:r>
    </w:p>
    <w:p w14:paraId="5EB9ECB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项目实施方案</w:t>
      </w:r>
    </w:p>
    <w:p w14:paraId="7C94880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、质量保障</w:t>
      </w:r>
      <w:r>
        <w:rPr>
          <w:rFonts w:hint="eastAsia" w:ascii="宋体" w:hAnsi="宋体" w:eastAsia="宋体" w:cs="宋体"/>
          <w:color w:val="auto"/>
          <w:sz w:val="24"/>
          <w:highlight w:val="none"/>
          <w:lang w:eastAsia="zh-CN"/>
        </w:rPr>
        <w:t>及安全维护</w:t>
      </w:r>
      <w:r>
        <w:rPr>
          <w:rFonts w:hint="eastAsia" w:ascii="宋体" w:hAnsi="宋体" w:eastAsia="宋体" w:cs="宋体"/>
          <w:color w:val="auto"/>
          <w:sz w:val="24"/>
          <w:highlight w:val="none"/>
        </w:rPr>
        <w:t>措施</w:t>
      </w:r>
    </w:p>
    <w:p w14:paraId="0050E1DB">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九</w:t>
      </w:r>
      <w:r>
        <w:rPr>
          <w:rFonts w:hint="eastAsia" w:ascii="宋体" w:hAnsi="宋体" w:eastAsia="宋体" w:cs="宋体"/>
          <w:color w:val="auto"/>
          <w:sz w:val="24"/>
          <w:highlight w:val="none"/>
        </w:rPr>
        <w:t>、应急处理方</w:t>
      </w:r>
      <w:r>
        <w:rPr>
          <w:rFonts w:hint="eastAsia" w:ascii="宋体" w:hAnsi="宋体" w:eastAsia="宋体" w:cs="宋体"/>
          <w:color w:val="auto"/>
          <w:sz w:val="24"/>
          <w:highlight w:val="none"/>
          <w:lang w:val="en-US" w:eastAsia="zh-CN"/>
        </w:rPr>
        <w:t>案</w:t>
      </w:r>
    </w:p>
    <w:p w14:paraId="58D9927F">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十</w:t>
      </w:r>
      <w:r>
        <w:rPr>
          <w:rFonts w:hint="eastAsia" w:ascii="宋体" w:hAnsi="宋体" w:eastAsia="宋体" w:cs="宋体"/>
          <w:color w:val="auto"/>
          <w:sz w:val="24"/>
          <w:highlight w:val="none"/>
        </w:rPr>
        <w:t>、网络安全方</w:t>
      </w:r>
      <w:r>
        <w:rPr>
          <w:rFonts w:hint="eastAsia" w:ascii="宋体" w:hAnsi="宋体" w:eastAsia="宋体" w:cs="宋体"/>
          <w:color w:val="auto"/>
          <w:sz w:val="24"/>
          <w:highlight w:val="none"/>
          <w:lang w:val="en-US" w:eastAsia="zh-CN"/>
        </w:rPr>
        <w:t>案</w:t>
      </w:r>
    </w:p>
    <w:p w14:paraId="6B7C0357">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十一</w:t>
      </w:r>
      <w:r>
        <w:rPr>
          <w:rFonts w:hint="eastAsia" w:ascii="宋体" w:hAnsi="宋体" w:eastAsia="宋体" w:cs="宋体"/>
          <w:color w:val="auto"/>
          <w:sz w:val="24"/>
          <w:highlight w:val="none"/>
        </w:rPr>
        <w:t>、培训</w:t>
      </w:r>
      <w:r>
        <w:rPr>
          <w:rFonts w:hint="eastAsia" w:ascii="宋体" w:hAnsi="宋体" w:eastAsia="宋体" w:cs="宋体"/>
          <w:color w:val="auto"/>
          <w:sz w:val="24"/>
          <w:highlight w:val="none"/>
          <w:lang w:val="en-US" w:eastAsia="zh-CN"/>
        </w:rPr>
        <w:t>指导</w:t>
      </w:r>
      <w:r>
        <w:rPr>
          <w:rFonts w:hint="eastAsia" w:ascii="宋体" w:hAnsi="宋体" w:eastAsia="宋体" w:cs="宋体"/>
          <w:color w:val="auto"/>
          <w:sz w:val="24"/>
          <w:highlight w:val="none"/>
        </w:rPr>
        <w:t>方案</w:t>
      </w:r>
    </w:p>
    <w:p w14:paraId="24FA9F40">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十二、企业实力</w:t>
      </w:r>
    </w:p>
    <w:p w14:paraId="1773386B">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十三、售后服务承诺</w:t>
      </w:r>
    </w:p>
    <w:p w14:paraId="69899EB0">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十四、中小企业声明函</w:t>
      </w:r>
    </w:p>
    <w:p w14:paraId="6D6CD3E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十五</w:t>
      </w:r>
      <w:r>
        <w:rPr>
          <w:rFonts w:hint="eastAsia" w:ascii="宋体" w:hAnsi="宋体" w:eastAsia="宋体" w:cs="宋体"/>
          <w:color w:val="auto"/>
          <w:sz w:val="24"/>
          <w:highlight w:val="none"/>
        </w:rPr>
        <w:t>、残疾人福利性单位声明函</w:t>
      </w:r>
    </w:p>
    <w:p w14:paraId="7D60071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十六</w:t>
      </w:r>
      <w:r>
        <w:rPr>
          <w:rFonts w:hint="eastAsia" w:ascii="宋体" w:hAnsi="宋体" w:eastAsia="宋体" w:cs="宋体"/>
          <w:color w:val="auto"/>
          <w:sz w:val="24"/>
          <w:highlight w:val="none"/>
        </w:rPr>
        <w:t>、监狱企业证明文件</w:t>
      </w:r>
    </w:p>
    <w:p w14:paraId="55FB65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十七、投标人认为</w:t>
      </w:r>
      <w:r>
        <w:rPr>
          <w:rFonts w:hint="eastAsia" w:ascii="宋体" w:hAnsi="宋体" w:eastAsia="宋体" w:cs="宋体"/>
          <w:color w:val="auto"/>
          <w:sz w:val="24"/>
          <w:highlight w:val="none"/>
        </w:rPr>
        <w:t>可提交的其他资料</w:t>
      </w:r>
    </w:p>
    <w:p w14:paraId="7F8C636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投标人在评标过程中作出的符合法律法规和招标文件规定的澄清确认，构成投标文件的组成部分。</w:t>
      </w:r>
    </w:p>
    <w:p w14:paraId="159873E5">
      <w:pPr>
        <w:pStyle w:val="98"/>
        <w:ind w:firstLine="12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3.2投标报价</w:t>
      </w:r>
    </w:p>
    <w:p w14:paraId="6BAC5D89">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3.2.1投标报价应包括国家规定的增值税税金，除投标人须知前附表另有规定外，增值税税金按一般计税方法计算。投标人应按第六章“投标文件格式”的要求在投标函中进行报价</w:t>
      </w:r>
      <w:r>
        <w:rPr>
          <w:rFonts w:hint="eastAsia" w:ascii="宋体" w:hAnsi="宋体" w:cs="宋体"/>
          <w:color w:val="auto"/>
          <w:sz w:val="24"/>
          <w:highlight w:val="none"/>
          <w:lang w:eastAsia="zh-CN"/>
        </w:rPr>
        <w:t>。</w:t>
      </w:r>
    </w:p>
    <w:p w14:paraId="72B9E1A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3.2.2投标人应充分了解该项目的总体情况以及影响投标报价的其他要素。</w:t>
      </w:r>
    </w:p>
    <w:p w14:paraId="0A088D1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3.2.3投标报价的其他要求见投标人须知前附表。</w:t>
      </w:r>
    </w:p>
    <w:p w14:paraId="1DA13DCF">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3.3投标有效期</w:t>
      </w:r>
    </w:p>
    <w:p w14:paraId="60AA8A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3.3.1除投标人须知前附表另有规定外，投标有效期为</w:t>
      </w:r>
      <w:r>
        <w:rPr>
          <w:rFonts w:hint="eastAsia" w:ascii="宋体" w:hAnsi="宋体" w:cs="宋体"/>
          <w:color w:val="auto"/>
          <w:sz w:val="24"/>
          <w:highlight w:val="none"/>
          <w:lang w:val="en-US" w:eastAsia="zh-CN"/>
        </w:rPr>
        <w:t>60</w:t>
      </w:r>
      <w:r>
        <w:rPr>
          <w:rFonts w:hint="eastAsia" w:ascii="宋体" w:hAnsi="宋体" w:eastAsia="宋体" w:cs="宋体"/>
          <w:color w:val="auto"/>
          <w:sz w:val="24"/>
          <w:highlight w:val="none"/>
        </w:rPr>
        <w:t>日历天（从投标截止之日算起）。</w:t>
      </w:r>
    </w:p>
    <w:p w14:paraId="5DFF240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3.3.2在投标有效期内，投标人撤销投标文件的，应承担招标文件和法律规定的责任。</w:t>
      </w:r>
    </w:p>
    <w:p w14:paraId="3558FA67">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3.3.3出现特殊情况需要延长投标有效期的，</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以书面形式通知所有投标人延长投标有效期。投标人应予以书面答复，但不得要求或被允许修改其投标文件；投标人拒绝延长的，其投标失效</w:t>
      </w:r>
      <w:r>
        <w:rPr>
          <w:rFonts w:hint="eastAsia" w:ascii="宋体" w:hAnsi="宋体" w:cs="宋体"/>
          <w:color w:val="auto"/>
          <w:sz w:val="24"/>
          <w:highlight w:val="none"/>
          <w:lang w:eastAsia="zh-CN"/>
        </w:rPr>
        <w:t>。</w:t>
      </w:r>
    </w:p>
    <w:p w14:paraId="5A1DDC88">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3.4投标保证金</w:t>
      </w:r>
    </w:p>
    <w:p w14:paraId="569C4258">
      <w:pPr>
        <w:pStyle w:val="98"/>
        <w:ind w:firstLine="360" w:firstLineChars="1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本项目不收取。</w:t>
      </w:r>
    </w:p>
    <w:p w14:paraId="56812523">
      <w:pPr>
        <w:pStyle w:val="98"/>
        <w:ind w:firstLine="12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3.5资格审查资料</w:t>
      </w:r>
    </w:p>
    <w:p w14:paraId="4CF9809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除投标人须知前附表另有规定外，投标人应按下列规定提供资格审查资料，以证明其满足本章第1.4款规定的投标人资格要求。</w:t>
      </w:r>
    </w:p>
    <w:p w14:paraId="4BFE9E67">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3.6备选投标方案</w:t>
      </w:r>
    </w:p>
    <w:p w14:paraId="3212C61D">
      <w:pPr>
        <w:pStyle w:val="98"/>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不接受</w:t>
      </w:r>
      <w:r>
        <w:rPr>
          <w:rFonts w:hint="eastAsia" w:ascii="宋体" w:hAnsi="宋体" w:eastAsia="宋体" w:cs="宋体"/>
          <w:color w:val="auto"/>
          <w:sz w:val="24"/>
          <w:szCs w:val="24"/>
          <w:highlight w:val="none"/>
          <w:lang w:eastAsia="zh-CN"/>
        </w:rPr>
        <w:t>。</w:t>
      </w:r>
    </w:p>
    <w:p w14:paraId="73778A14">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3.7投标文件的编制</w:t>
      </w:r>
    </w:p>
    <w:p w14:paraId="33B03B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3.7.1投标文件应按第六章“投标文件格式”进行编写，如有必要，可以增加附页，作为投标文件的组成部分。其中，投标函附录在满足招标文件实质性要求的基础上，可以提出比招标文件要求更有利于</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的承诺。</w:t>
      </w:r>
    </w:p>
    <w:p w14:paraId="3C9CD89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3.7.2投标文件应当对招标文件有关</w:t>
      </w:r>
      <w:r>
        <w:rPr>
          <w:rFonts w:hint="eastAsia" w:ascii="宋体" w:hAnsi="宋体" w:cs="宋体"/>
          <w:color w:val="auto"/>
          <w:sz w:val="24"/>
          <w:highlight w:val="none"/>
          <w:lang w:val="en-US" w:eastAsia="zh-CN"/>
        </w:rPr>
        <w:t>服务期</w:t>
      </w:r>
      <w:r>
        <w:rPr>
          <w:rFonts w:hint="eastAsia" w:ascii="宋体" w:hAnsi="宋体" w:eastAsia="宋体" w:cs="宋体"/>
          <w:color w:val="auto"/>
          <w:sz w:val="24"/>
          <w:highlight w:val="none"/>
        </w:rPr>
        <w:t>、投标有效期、服务内容及要求等实质性内容作出响应。</w:t>
      </w:r>
    </w:p>
    <w:p w14:paraId="5EBB68A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3.7.3签字或盖章的具体要求见投标人须知前附表规定。</w:t>
      </w:r>
    </w:p>
    <w:p w14:paraId="645AD011">
      <w:pPr>
        <w:pStyle w:val="4"/>
        <w:spacing w:before="0" w:after="0" w:line="360" w:lineRule="auto"/>
        <w:outlineLvl w:val="1"/>
        <w:rPr>
          <w:rFonts w:hint="eastAsia" w:ascii="宋体" w:hAnsi="宋体" w:eastAsia="宋体" w:cs="宋体"/>
          <w:color w:val="auto"/>
          <w:sz w:val="24"/>
          <w:szCs w:val="24"/>
          <w:highlight w:val="none"/>
        </w:rPr>
      </w:pPr>
      <w:bookmarkStart w:id="131" w:name="_Toc10944"/>
      <w:bookmarkStart w:id="132" w:name="_Toc19753"/>
      <w:bookmarkStart w:id="133" w:name="_Toc7366"/>
      <w:bookmarkStart w:id="134" w:name="_Toc28777"/>
      <w:bookmarkStart w:id="135" w:name="_Toc21577"/>
      <w:bookmarkStart w:id="136" w:name="_Toc505093161"/>
      <w:bookmarkStart w:id="137" w:name="_Toc18409"/>
      <w:r>
        <w:rPr>
          <w:rFonts w:hint="eastAsia" w:ascii="宋体" w:hAnsi="宋体" w:eastAsia="宋体" w:cs="宋体"/>
          <w:color w:val="auto"/>
          <w:sz w:val="24"/>
          <w:szCs w:val="24"/>
          <w:highlight w:val="none"/>
        </w:rPr>
        <w:t>4.投标</w:t>
      </w:r>
      <w:bookmarkEnd w:id="131"/>
      <w:bookmarkEnd w:id="132"/>
      <w:bookmarkEnd w:id="133"/>
      <w:bookmarkEnd w:id="134"/>
      <w:bookmarkEnd w:id="135"/>
      <w:bookmarkEnd w:id="136"/>
      <w:bookmarkEnd w:id="137"/>
    </w:p>
    <w:p w14:paraId="071B766F">
      <w:pPr>
        <w:pStyle w:val="98"/>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4.1投标人应当按照招标文件和电子招标投标交易平台的要求加密投标文件，具体要求见投标人须知前附表“电子化招标投标交易注意事项”。</w:t>
      </w:r>
    </w:p>
    <w:p w14:paraId="67DC19D0">
      <w:pPr>
        <w:pStyle w:val="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4.2投标文件的递交</w:t>
      </w:r>
    </w:p>
    <w:p w14:paraId="440C28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4.2.1投标人应在投标人须知前附表规定的投标截止时间前递交投标文件。</w:t>
      </w:r>
    </w:p>
    <w:p w14:paraId="19FA67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4.2.2投标人通过下载招标文件的电子招标投标交易平台递交电子投标文件。</w:t>
      </w:r>
    </w:p>
    <w:p w14:paraId="642691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4.2.3除投标人须知前附表另有规定外，投标人所递交的投标文件不予退还。</w:t>
      </w:r>
    </w:p>
    <w:p w14:paraId="4FC9E9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4.2.4逾期送达的投标文件，电子招标投标交易平台将予以拒收。</w:t>
      </w:r>
    </w:p>
    <w:p w14:paraId="402B5F85">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4.3投标文件的修改与撤回</w:t>
      </w:r>
    </w:p>
    <w:p w14:paraId="125D4A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4.3.1在本章第4.2.1项规定的投标截止时间前，投标人可以修改或撤回已递交的投标文件，但应以书面形式通知</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w:t>
      </w:r>
    </w:p>
    <w:p w14:paraId="2BD2BC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4.3.2投标人撤回投标文件的，待项目招标工作结束后5日内，退还已收取的投标保证金</w:t>
      </w:r>
      <w:r>
        <w:rPr>
          <w:rFonts w:hint="eastAsia" w:ascii="宋体" w:hAnsi="宋体" w:cs="宋体"/>
          <w:color w:val="auto"/>
          <w:sz w:val="24"/>
          <w:highlight w:val="none"/>
          <w:lang w:eastAsia="zh-CN"/>
        </w:rPr>
        <w:t>（如有）</w:t>
      </w:r>
      <w:r>
        <w:rPr>
          <w:rFonts w:hint="eastAsia" w:ascii="宋体" w:hAnsi="宋体" w:eastAsia="宋体" w:cs="宋体"/>
          <w:color w:val="auto"/>
          <w:sz w:val="24"/>
          <w:highlight w:val="none"/>
        </w:rPr>
        <w:t>。</w:t>
      </w:r>
    </w:p>
    <w:p w14:paraId="01731A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4.3.3修改的内容为投标文件的组成部分。</w:t>
      </w:r>
    </w:p>
    <w:p w14:paraId="213D3DE1">
      <w:pPr>
        <w:pStyle w:val="4"/>
        <w:spacing w:before="0" w:after="0" w:line="360" w:lineRule="auto"/>
        <w:outlineLvl w:val="1"/>
        <w:rPr>
          <w:rFonts w:hint="eastAsia" w:ascii="宋体" w:hAnsi="宋体" w:eastAsia="宋体" w:cs="宋体"/>
          <w:color w:val="auto"/>
          <w:sz w:val="24"/>
          <w:szCs w:val="24"/>
          <w:highlight w:val="none"/>
        </w:rPr>
      </w:pPr>
      <w:bookmarkStart w:id="138" w:name="_Toc16808"/>
      <w:bookmarkStart w:id="139" w:name="_Toc26520"/>
      <w:bookmarkStart w:id="140" w:name="_Toc20757"/>
      <w:bookmarkStart w:id="141" w:name="_Toc4332"/>
      <w:bookmarkStart w:id="142" w:name="_Toc22594"/>
      <w:bookmarkStart w:id="143" w:name="_Toc505093162"/>
      <w:bookmarkStart w:id="144" w:name="_Toc22819"/>
      <w:r>
        <w:rPr>
          <w:rFonts w:hint="eastAsia" w:ascii="宋体" w:hAnsi="宋体" w:eastAsia="宋体" w:cs="宋体"/>
          <w:color w:val="auto"/>
          <w:sz w:val="24"/>
          <w:szCs w:val="24"/>
          <w:highlight w:val="none"/>
        </w:rPr>
        <w:t>5.开标</w:t>
      </w:r>
      <w:bookmarkEnd w:id="138"/>
      <w:bookmarkEnd w:id="139"/>
      <w:bookmarkEnd w:id="140"/>
      <w:bookmarkEnd w:id="141"/>
      <w:bookmarkEnd w:id="142"/>
      <w:bookmarkEnd w:id="143"/>
      <w:bookmarkEnd w:id="144"/>
    </w:p>
    <w:p w14:paraId="7824D18C">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5.1开标时间和地点</w:t>
      </w:r>
    </w:p>
    <w:p w14:paraId="4972A9EC">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在本章第 4.2.1 项规定的投标截止时间（开标时间）和投标人须知前附表规定的地点,通过电子招标投标交易平台公开开标。</w:t>
      </w:r>
    </w:p>
    <w:p w14:paraId="3F69CD44">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5.2开标程序</w:t>
      </w:r>
    </w:p>
    <w:p w14:paraId="38A9B6E2">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rPr>
      </w:pPr>
      <w:bookmarkStart w:id="145" w:name="_Toc21355"/>
      <w:bookmarkStart w:id="146" w:name="_Toc32123"/>
      <w:bookmarkStart w:id="147" w:name="_Toc30969"/>
      <w:bookmarkStart w:id="148" w:name="_Toc505093163"/>
      <w:r>
        <w:rPr>
          <w:rFonts w:hint="eastAsia" w:ascii="宋体" w:hAnsi="宋体" w:eastAsia="宋体" w:cs="宋体"/>
          <w:color w:val="auto"/>
          <w:sz w:val="24"/>
          <w:highlight w:val="none"/>
        </w:rPr>
        <w:t>5.2.1 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646A6ECD">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5.2.2 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199150A6">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5.2.3 电子化投标文件解密异常的处理</w:t>
      </w:r>
    </w:p>
    <w:p w14:paraId="0193C0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如出现投标人的电子投标文件无法解密等异常情况，投标人应及时致电中介服务机构说明。投标文件异常，按以下步骤进行处理：</w:t>
      </w:r>
    </w:p>
    <w:p w14:paraId="6E873D17">
      <w:pPr>
        <w:spacing w:line="360" w:lineRule="auto"/>
        <w:ind w:firstLine="573"/>
        <w:rPr>
          <w:rFonts w:hint="eastAsia" w:ascii="宋体" w:hAnsi="宋体" w:eastAsia="宋体" w:cs="宋体"/>
          <w:color w:val="auto"/>
          <w:sz w:val="24"/>
          <w:highlight w:val="none"/>
        </w:rPr>
      </w:pPr>
      <w:r>
        <w:rPr>
          <w:rFonts w:hint="eastAsia" w:ascii="宋体" w:hAnsi="宋体" w:eastAsia="宋体" w:cs="宋体"/>
          <w:color w:val="auto"/>
          <w:sz w:val="24"/>
          <w:highlight w:val="none"/>
        </w:rPr>
        <w:t>（1）首先由技术人员进行问题排查。</w:t>
      </w:r>
    </w:p>
    <w:p w14:paraId="63AC9165">
      <w:pPr>
        <w:spacing w:line="360" w:lineRule="auto"/>
        <w:ind w:firstLine="573"/>
        <w:rPr>
          <w:rFonts w:hint="eastAsia" w:ascii="宋体" w:hAnsi="宋体" w:eastAsia="宋体" w:cs="宋体"/>
          <w:color w:val="auto"/>
          <w:sz w:val="24"/>
          <w:highlight w:val="none"/>
        </w:rPr>
      </w:pPr>
      <w:r>
        <w:rPr>
          <w:rFonts w:hint="eastAsia" w:ascii="宋体" w:hAnsi="宋体" w:eastAsia="宋体" w:cs="宋体"/>
          <w:color w:val="auto"/>
          <w:sz w:val="24"/>
          <w:highlight w:val="none"/>
        </w:rPr>
        <w:t>（2）经技术人员排查后，是投标人文件自身问题导致投标文件无法解密的，该投标文件将不予接收、解密和唱标。开标会议继续进行。</w:t>
      </w:r>
    </w:p>
    <w:p w14:paraId="27130EE4">
      <w:pPr>
        <w:spacing w:line="360" w:lineRule="auto"/>
        <w:ind w:firstLine="573"/>
        <w:rPr>
          <w:rFonts w:hint="eastAsia" w:ascii="宋体" w:hAnsi="宋体" w:eastAsia="宋体" w:cs="宋体"/>
          <w:color w:val="auto"/>
          <w:sz w:val="24"/>
          <w:highlight w:val="none"/>
        </w:rPr>
      </w:pPr>
      <w:r>
        <w:rPr>
          <w:rFonts w:hint="eastAsia" w:ascii="宋体" w:hAnsi="宋体" w:eastAsia="宋体" w:cs="宋体"/>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60CCC693">
      <w:pPr>
        <w:spacing w:line="360" w:lineRule="auto"/>
        <w:ind w:firstLine="573"/>
        <w:rPr>
          <w:rFonts w:hint="eastAsia" w:ascii="宋体" w:hAnsi="宋体" w:eastAsia="宋体" w:cs="宋体"/>
          <w:color w:val="auto"/>
          <w:sz w:val="24"/>
          <w:highlight w:val="none"/>
        </w:rPr>
      </w:pPr>
      <w:r>
        <w:rPr>
          <w:rFonts w:hint="eastAsia" w:ascii="宋体" w:hAnsi="宋体" w:eastAsia="宋体" w:cs="宋体"/>
          <w:color w:val="auto"/>
          <w:sz w:val="24"/>
          <w:highlight w:val="none"/>
        </w:rPr>
        <w:t>5.2.4 待所有投标人投标文件解密完成后，由中介服务机构操作，对所有已解密投标文件进行唱标。</w:t>
      </w:r>
    </w:p>
    <w:p w14:paraId="347021B6">
      <w:pPr>
        <w:spacing w:line="360" w:lineRule="auto"/>
        <w:ind w:firstLine="573"/>
        <w:rPr>
          <w:rFonts w:hint="eastAsia" w:ascii="宋体" w:hAnsi="宋体" w:eastAsia="宋体" w:cs="宋体"/>
          <w:color w:val="auto"/>
          <w:sz w:val="24"/>
          <w:highlight w:val="none"/>
        </w:rPr>
      </w:pPr>
      <w:r>
        <w:rPr>
          <w:rFonts w:hint="eastAsia" w:ascii="宋体" w:hAnsi="宋体" w:eastAsia="宋体" w:cs="宋体"/>
          <w:b/>
          <w:color w:val="auto"/>
          <w:sz w:val="24"/>
          <w:highlight w:val="none"/>
        </w:rPr>
        <w:t>投标人应保证在开标期间电话、电脑、网络能够正常工作，投标人因停电、电脑病毒、网络堵塞等原因，未在规定的解密时间内对投标文件进行解密的，其投标文件不予接收、唱标。</w:t>
      </w:r>
    </w:p>
    <w:p w14:paraId="14CBD5D2">
      <w:pPr>
        <w:spacing w:line="360" w:lineRule="auto"/>
        <w:ind w:firstLine="573"/>
        <w:rPr>
          <w:rFonts w:hint="eastAsia" w:ascii="宋体" w:hAnsi="宋体" w:eastAsia="宋体" w:cs="宋体"/>
          <w:color w:val="auto"/>
          <w:sz w:val="24"/>
          <w:highlight w:val="none"/>
        </w:rPr>
      </w:pPr>
      <w:r>
        <w:rPr>
          <w:rFonts w:hint="eastAsia" w:ascii="宋体" w:hAnsi="宋体" w:eastAsia="宋体" w:cs="宋体"/>
          <w:color w:val="auto"/>
          <w:sz w:val="24"/>
          <w:highlight w:val="none"/>
        </w:rPr>
        <w:t>5.2.5 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bookmarkEnd w:id="145"/>
    <w:bookmarkEnd w:id="146"/>
    <w:bookmarkEnd w:id="147"/>
    <w:p w14:paraId="2D06F17D">
      <w:pPr>
        <w:pStyle w:val="4"/>
        <w:spacing w:before="0" w:after="0" w:line="360" w:lineRule="auto"/>
        <w:outlineLvl w:val="1"/>
        <w:rPr>
          <w:rFonts w:hint="eastAsia" w:ascii="宋体" w:hAnsi="宋体" w:eastAsia="宋体" w:cs="宋体"/>
          <w:color w:val="auto"/>
          <w:sz w:val="24"/>
          <w:szCs w:val="24"/>
          <w:highlight w:val="none"/>
        </w:rPr>
      </w:pPr>
      <w:bookmarkStart w:id="149" w:name="_Toc21384"/>
      <w:bookmarkStart w:id="150" w:name="_Toc25924"/>
      <w:bookmarkStart w:id="151" w:name="_Toc11560"/>
      <w:bookmarkStart w:id="152" w:name="_Toc23735"/>
      <w:bookmarkStart w:id="153" w:name="_Toc11224"/>
      <w:bookmarkStart w:id="154" w:name="_Toc20205"/>
      <w:r>
        <w:rPr>
          <w:rFonts w:hint="eastAsia" w:ascii="宋体" w:hAnsi="宋体" w:eastAsia="宋体" w:cs="宋体"/>
          <w:color w:val="auto"/>
          <w:sz w:val="24"/>
          <w:szCs w:val="24"/>
          <w:highlight w:val="none"/>
        </w:rPr>
        <w:t>6.评标</w:t>
      </w:r>
      <w:bookmarkEnd w:id="148"/>
      <w:bookmarkEnd w:id="149"/>
      <w:bookmarkEnd w:id="150"/>
      <w:bookmarkEnd w:id="151"/>
      <w:bookmarkEnd w:id="152"/>
      <w:bookmarkEnd w:id="153"/>
      <w:bookmarkEnd w:id="154"/>
    </w:p>
    <w:p w14:paraId="2FA6396E">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6.1评标委员会</w:t>
      </w:r>
    </w:p>
    <w:p w14:paraId="5B91A8E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6.1.1评标由</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依法组建的评标委员会负责。评标委员会由</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或其委托的</w:t>
      </w:r>
      <w:r>
        <w:rPr>
          <w:rFonts w:hint="eastAsia" w:ascii="宋体" w:hAnsi="宋体" w:cs="宋体"/>
          <w:color w:val="auto"/>
          <w:sz w:val="24"/>
          <w:highlight w:val="none"/>
          <w:lang w:eastAsia="zh-CN"/>
        </w:rPr>
        <w:t>采购代理机构</w:t>
      </w:r>
      <w:r>
        <w:rPr>
          <w:rFonts w:hint="eastAsia" w:ascii="宋体" w:hAnsi="宋体" w:eastAsia="宋体" w:cs="宋体"/>
          <w:color w:val="auto"/>
          <w:sz w:val="24"/>
          <w:highlight w:val="none"/>
        </w:rPr>
        <w:t>熟悉相关业务的代表，以及有关技术、经济等方面的专家组成。评标委员会成员人数以及技术、经济等方面专家的确定方式见投标人须知前附表。</w:t>
      </w:r>
    </w:p>
    <w:p w14:paraId="32D3C3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6.1.2评标委员会成员有下列情形之一的，应当回避：</w:t>
      </w:r>
    </w:p>
    <w:p w14:paraId="26AD5B2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（1）投标人或投标人主要负责人的近亲属；</w:t>
      </w:r>
    </w:p>
    <w:p w14:paraId="63228F3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（2）项目主管部门或者行政监督部门的人员；</w:t>
      </w:r>
    </w:p>
    <w:p w14:paraId="797B708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（3）与投标人有经济利益关系，可能影响对投标公正评审的；</w:t>
      </w:r>
    </w:p>
    <w:p w14:paraId="164C90D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（4）曾因在招标、评标以及其他与招标投标有关活动中从事违法行为而受过行政处罚或刑事处罚的；</w:t>
      </w:r>
    </w:p>
    <w:p w14:paraId="08CB22A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（5）与投标人有其他利害关系。</w:t>
      </w:r>
    </w:p>
    <w:p w14:paraId="25B675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6.1.3评标过程中，评标委员会成员有回避事由、擅离职守或者因健康等原因不能继续评标的，</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有权更换。被更换的评标委员会成员作出的评审结论无效，由更换后的评标委员会成员重新进行评审。</w:t>
      </w:r>
    </w:p>
    <w:p w14:paraId="69721DC2">
      <w:pPr>
        <w:spacing w:line="360" w:lineRule="auto"/>
        <w:ind w:firstLine="573"/>
        <w:rPr>
          <w:rFonts w:hint="eastAsia" w:ascii="宋体" w:hAnsi="宋体" w:eastAsia="宋体" w:cs="宋体"/>
          <w:color w:val="auto"/>
          <w:sz w:val="24"/>
          <w:highlight w:val="none"/>
        </w:rPr>
      </w:pPr>
      <w:r>
        <w:rPr>
          <w:rFonts w:hint="eastAsia" w:ascii="宋体" w:hAnsi="宋体" w:eastAsia="宋体" w:cs="宋体"/>
          <w:color w:val="auto"/>
          <w:sz w:val="24"/>
          <w:highlight w:val="none"/>
        </w:rPr>
        <w:t>6.1.4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2BB3F4F1">
      <w:pPr>
        <w:spacing w:line="360" w:lineRule="auto"/>
        <w:ind w:firstLine="573"/>
        <w:rPr>
          <w:rFonts w:hint="eastAsia" w:ascii="宋体" w:hAnsi="宋体" w:eastAsia="宋体" w:cs="宋体"/>
          <w:color w:val="auto"/>
          <w:sz w:val="24"/>
          <w:highlight w:val="none"/>
        </w:rPr>
      </w:pPr>
      <w:r>
        <w:rPr>
          <w:rFonts w:hint="eastAsia" w:ascii="宋体" w:hAnsi="宋体" w:eastAsia="宋体" w:cs="宋体"/>
          <w:color w:val="auto"/>
          <w:sz w:val="24"/>
          <w:highlight w:val="none"/>
        </w:rPr>
        <w:t>6.1.5如评标委员会对需要回复的投标人连续三次致电未接通的，视为投标人放弃回复，评标委员会将自行对需要回复的内容进行认定。</w:t>
      </w:r>
    </w:p>
    <w:p w14:paraId="6F2A74D1">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6.2评标原则</w:t>
      </w:r>
    </w:p>
    <w:p w14:paraId="4279ED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评标活动遵循公平、公正、科学和择优的原则。</w:t>
      </w:r>
    </w:p>
    <w:p w14:paraId="6476B2B1">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6.3评标</w:t>
      </w:r>
    </w:p>
    <w:p w14:paraId="66F3919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6.3.1评标委员会按照第三章“评标办法（综合评分法）”规定的方法、评审因素、标准和程序对投标文件进行评审。第三章“评标办法（综合评分法）”没有规定的方法、评审因素和标准，不作为评标依据。</w:t>
      </w:r>
    </w:p>
    <w:p w14:paraId="2BD391F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6.3.2评标完成后，评标委员会应当向</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提交书面评标报告和中标候选人名单。评标委员会推荐中标候选人的人数见投标人须知前附表。</w:t>
      </w:r>
    </w:p>
    <w:p w14:paraId="7587F97C">
      <w:pPr>
        <w:pStyle w:val="4"/>
        <w:spacing w:before="0" w:after="0" w:line="360" w:lineRule="auto"/>
        <w:outlineLvl w:val="1"/>
        <w:rPr>
          <w:rFonts w:hint="eastAsia" w:ascii="宋体" w:hAnsi="宋体" w:eastAsia="宋体" w:cs="宋体"/>
          <w:color w:val="auto"/>
          <w:sz w:val="24"/>
          <w:szCs w:val="24"/>
          <w:highlight w:val="none"/>
        </w:rPr>
      </w:pPr>
      <w:bookmarkStart w:id="155" w:name="_Toc3866"/>
      <w:bookmarkStart w:id="156" w:name="_Toc29390"/>
      <w:bookmarkStart w:id="157" w:name="_Toc15678"/>
      <w:bookmarkStart w:id="158" w:name="_Toc3082"/>
      <w:bookmarkStart w:id="159" w:name="_Toc9679"/>
      <w:bookmarkStart w:id="160" w:name="_Toc25494"/>
      <w:bookmarkStart w:id="161" w:name="_Toc505093164"/>
      <w:r>
        <w:rPr>
          <w:rFonts w:hint="eastAsia" w:ascii="宋体" w:hAnsi="宋体" w:eastAsia="宋体" w:cs="宋体"/>
          <w:color w:val="auto"/>
          <w:sz w:val="24"/>
          <w:szCs w:val="24"/>
          <w:highlight w:val="none"/>
        </w:rPr>
        <w:t>7.合同授予</w:t>
      </w:r>
      <w:bookmarkEnd w:id="155"/>
      <w:bookmarkEnd w:id="156"/>
      <w:bookmarkEnd w:id="157"/>
      <w:bookmarkEnd w:id="158"/>
      <w:bookmarkEnd w:id="159"/>
      <w:bookmarkEnd w:id="160"/>
      <w:bookmarkEnd w:id="161"/>
    </w:p>
    <w:p w14:paraId="5C48851B">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7.1中标候选人公示</w:t>
      </w:r>
    </w:p>
    <w:p w14:paraId="441E43DE">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在收到评标报告之日起3日内，按照投标人须知前附表规定的公示媒介和期限公示中标候选人，公示期不得少于</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日。</w:t>
      </w:r>
    </w:p>
    <w:p w14:paraId="15CF6F5D">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7.2评标结果异议</w:t>
      </w:r>
    </w:p>
    <w:p w14:paraId="71980E5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投标人或者其他利害关系人对评标结果有异议的，应当在中标候选人公示期间提出。</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将在收到异议之日起3日内作出答复；作出答复前，将暂停招标投标活动。</w:t>
      </w:r>
    </w:p>
    <w:p w14:paraId="6A00BEEB">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7.3中标候选人履约能力审查</w:t>
      </w:r>
    </w:p>
    <w:p w14:paraId="38E6339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中标候选人的经营、财务状况发生较大变化或存在违法行为，</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认为可能影响其履约能力的，将在发出中标通知书前请原评标委员会按照招标文件规定的标准和方法进行审查确认。</w:t>
      </w:r>
    </w:p>
    <w:p w14:paraId="4D32B073">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7.4定标</w:t>
      </w:r>
    </w:p>
    <w:p w14:paraId="2C4CF0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按照投标人须知前附表的规定，</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或</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授权的评标委员会依法确定中标人。</w:t>
      </w:r>
    </w:p>
    <w:p w14:paraId="7E8EE6D4">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7.5中标通知</w:t>
      </w:r>
    </w:p>
    <w:p w14:paraId="04D31F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在本章第3.3款规定的投标有效期内，</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以书面形式向中标人发出中标通知书，同时将中标结果</w:t>
      </w:r>
      <w:r>
        <w:rPr>
          <w:rFonts w:hint="eastAsia" w:ascii="宋体" w:hAnsi="宋体" w:cs="宋体"/>
          <w:color w:val="auto"/>
          <w:sz w:val="24"/>
          <w:highlight w:val="none"/>
          <w:lang w:eastAsia="zh-CN"/>
        </w:rPr>
        <w:t>以成交公告的形式</w:t>
      </w:r>
      <w:r>
        <w:rPr>
          <w:rFonts w:hint="eastAsia" w:ascii="宋体" w:hAnsi="宋体" w:eastAsia="宋体" w:cs="宋体"/>
          <w:color w:val="auto"/>
          <w:sz w:val="24"/>
          <w:highlight w:val="none"/>
        </w:rPr>
        <w:t>通知未中标的投标人。</w:t>
      </w:r>
    </w:p>
    <w:p w14:paraId="2F638536">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7.6履约保证金</w:t>
      </w:r>
    </w:p>
    <w:p w14:paraId="5A3C71D3">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本项目不要求</w:t>
      </w:r>
      <w:r>
        <w:rPr>
          <w:rFonts w:hint="eastAsia" w:ascii="宋体" w:hAnsi="宋体" w:cs="宋体"/>
          <w:color w:val="auto"/>
          <w:sz w:val="24"/>
          <w:highlight w:val="none"/>
          <w:lang w:eastAsia="zh-CN"/>
        </w:rPr>
        <w:t>。</w:t>
      </w:r>
    </w:p>
    <w:p w14:paraId="614965F0">
      <w:pPr>
        <w:pStyle w:val="4"/>
        <w:spacing w:before="0" w:after="0" w:line="360" w:lineRule="auto"/>
        <w:outlineLvl w:val="1"/>
        <w:rPr>
          <w:rFonts w:hint="eastAsia" w:ascii="宋体" w:hAnsi="宋体" w:eastAsia="宋体" w:cs="宋体"/>
          <w:color w:val="auto"/>
          <w:sz w:val="24"/>
          <w:szCs w:val="24"/>
          <w:highlight w:val="none"/>
        </w:rPr>
      </w:pPr>
      <w:bookmarkStart w:id="162" w:name="_Toc25512"/>
      <w:bookmarkStart w:id="163" w:name="_Toc24297"/>
      <w:bookmarkStart w:id="164" w:name="_Toc505093165"/>
      <w:bookmarkStart w:id="165" w:name="_Toc5543"/>
      <w:bookmarkStart w:id="166" w:name="_Toc6615"/>
      <w:bookmarkStart w:id="167" w:name="_Toc902"/>
      <w:bookmarkStart w:id="168" w:name="_Toc5790"/>
      <w:r>
        <w:rPr>
          <w:rFonts w:hint="eastAsia" w:ascii="宋体" w:hAnsi="宋体" w:eastAsia="宋体" w:cs="宋体"/>
          <w:color w:val="auto"/>
          <w:sz w:val="24"/>
          <w:szCs w:val="24"/>
          <w:highlight w:val="none"/>
        </w:rPr>
        <w:t>8.纪律和监督</w:t>
      </w:r>
      <w:bookmarkEnd w:id="162"/>
      <w:bookmarkEnd w:id="163"/>
      <w:bookmarkEnd w:id="164"/>
      <w:bookmarkEnd w:id="165"/>
      <w:bookmarkEnd w:id="166"/>
      <w:bookmarkEnd w:id="167"/>
      <w:bookmarkEnd w:id="168"/>
    </w:p>
    <w:p w14:paraId="567B8ABB">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的纪律要求</w:t>
      </w:r>
    </w:p>
    <w:p w14:paraId="0A58668C">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不得泄露招标投标活动中应当保密的情况和资料，不得与投标人串通损害国家利益、社会公共利益或者他人合法权益。</w:t>
      </w:r>
    </w:p>
    <w:p w14:paraId="622FF104">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8.2对投标人的纪律要求</w:t>
      </w:r>
    </w:p>
    <w:p w14:paraId="6D4C854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投标人不得相互串通投标或者与</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串通投标，不得向</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或者评标委员会成员行贿谋取中标，不得以他人名义投标或者以其他方式弄虚作假骗取中标；投标人不得以任何方式干扰、影响评标工作。</w:t>
      </w:r>
    </w:p>
    <w:p w14:paraId="4D744BB7">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8.3对评标委员会成员的纪律要求</w:t>
      </w:r>
    </w:p>
    <w:p w14:paraId="563AD2D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综合评分法）”没有规定的评审因素和标准进行评标。</w:t>
      </w:r>
    </w:p>
    <w:p w14:paraId="611F293D">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8.4对与评标活动有关的工作人员的纪律要求</w:t>
      </w:r>
    </w:p>
    <w:p w14:paraId="5B4548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51F5CD6">
      <w:pPr>
        <w:pStyle w:val="98"/>
        <w:ind w:firstLine="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8.5投诉</w:t>
      </w:r>
    </w:p>
    <w:p w14:paraId="636C793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8.5.1投标人或者其他利害关系人认为招标投标活动不符合法律、行政法规规定的，可以自知道或者应当知道之日起10日内向有关行政监督部门投诉。投诉应当有明确的请求和必要的证明材料。</w:t>
      </w:r>
    </w:p>
    <w:p w14:paraId="408A69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8.5.2投标人或者其他利害关系人对招标文件、开标和评标结果提出投诉的，应当按照投标人须知第2.4款、第7.2款的规定先向</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提出异议。异议答复期间不计算在第8.5.1项规定的期限内。</w:t>
      </w:r>
    </w:p>
    <w:p w14:paraId="4EE96AC0">
      <w:pPr>
        <w:pStyle w:val="4"/>
        <w:spacing w:before="0" w:after="0" w:line="360" w:lineRule="auto"/>
        <w:outlineLvl w:val="1"/>
        <w:rPr>
          <w:rFonts w:hint="eastAsia" w:ascii="宋体" w:hAnsi="宋体" w:eastAsia="宋体" w:cs="宋体"/>
          <w:color w:val="auto"/>
          <w:sz w:val="24"/>
          <w:szCs w:val="24"/>
          <w:highlight w:val="none"/>
        </w:rPr>
      </w:pPr>
      <w:bookmarkStart w:id="169" w:name="_Toc6397"/>
      <w:bookmarkStart w:id="170" w:name="_Toc22337"/>
      <w:bookmarkStart w:id="171" w:name="_Toc14759"/>
      <w:bookmarkStart w:id="172" w:name="_Toc24393"/>
      <w:bookmarkStart w:id="173" w:name="_Toc168"/>
      <w:bookmarkStart w:id="174" w:name="_Toc505093166"/>
      <w:bookmarkStart w:id="175" w:name="_Toc1918"/>
      <w:r>
        <w:rPr>
          <w:rFonts w:hint="eastAsia" w:ascii="宋体" w:hAnsi="宋体" w:eastAsia="宋体" w:cs="宋体"/>
          <w:color w:val="auto"/>
          <w:sz w:val="24"/>
          <w:szCs w:val="24"/>
          <w:highlight w:val="none"/>
        </w:rPr>
        <w:t>9.是否采用电子招标投标</w:t>
      </w:r>
      <w:bookmarkEnd w:id="169"/>
      <w:bookmarkEnd w:id="170"/>
      <w:bookmarkEnd w:id="171"/>
      <w:bookmarkEnd w:id="172"/>
      <w:bookmarkEnd w:id="173"/>
      <w:bookmarkEnd w:id="174"/>
      <w:bookmarkEnd w:id="175"/>
    </w:p>
    <w:p w14:paraId="480B86A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本招标项目是否采用电子招标投标方式，见投标人须知前附表。</w:t>
      </w:r>
    </w:p>
    <w:p w14:paraId="74DB2F97">
      <w:pPr>
        <w:pStyle w:val="4"/>
        <w:spacing w:before="0" w:after="0" w:line="360" w:lineRule="auto"/>
        <w:outlineLvl w:val="1"/>
        <w:rPr>
          <w:rFonts w:hint="eastAsia" w:ascii="宋体" w:hAnsi="宋体" w:eastAsia="宋体" w:cs="宋体"/>
          <w:color w:val="auto"/>
          <w:sz w:val="24"/>
          <w:szCs w:val="24"/>
          <w:highlight w:val="none"/>
        </w:rPr>
      </w:pPr>
      <w:bookmarkStart w:id="176" w:name="_Toc10928"/>
      <w:bookmarkStart w:id="177" w:name="_Toc20071"/>
      <w:bookmarkStart w:id="178" w:name="_Toc25840"/>
      <w:bookmarkStart w:id="179" w:name="_Toc10627"/>
      <w:bookmarkStart w:id="180" w:name="_Toc15784"/>
      <w:bookmarkStart w:id="181" w:name="_Toc505093167"/>
      <w:bookmarkStart w:id="182" w:name="_Toc20351"/>
      <w:r>
        <w:rPr>
          <w:rFonts w:hint="eastAsia" w:ascii="宋体" w:hAnsi="宋体" w:eastAsia="宋体" w:cs="宋体"/>
          <w:color w:val="auto"/>
          <w:sz w:val="24"/>
          <w:szCs w:val="24"/>
          <w:highlight w:val="none"/>
        </w:rPr>
        <w:t>10.需要补充的其他内容</w:t>
      </w:r>
      <w:bookmarkEnd w:id="176"/>
      <w:bookmarkEnd w:id="177"/>
      <w:bookmarkEnd w:id="178"/>
      <w:bookmarkEnd w:id="179"/>
      <w:bookmarkEnd w:id="180"/>
      <w:bookmarkEnd w:id="181"/>
      <w:bookmarkEnd w:id="182"/>
    </w:p>
    <w:p w14:paraId="7D01A2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需要补充的其他内容：见投标人须知前附表。</w:t>
      </w:r>
    </w:p>
    <w:p w14:paraId="6D87C91D">
      <w:pPr>
        <w:jc w:val="both"/>
        <w:outlineLvl w:val="0"/>
        <w:rPr>
          <w:rFonts w:hint="eastAsia" w:ascii="宋体" w:hAnsi="宋体" w:eastAsia="宋体" w:cs="宋体"/>
          <w:b/>
          <w:bCs/>
          <w:color w:val="auto"/>
          <w:sz w:val="32"/>
          <w:szCs w:val="32"/>
          <w:highlight w:val="none"/>
        </w:rPr>
      </w:pPr>
      <w:bookmarkStart w:id="183" w:name="_Toc3148"/>
      <w:bookmarkStart w:id="184" w:name="_Toc32736"/>
      <w:bookmarkStart w:id="185" w:name="_Toc29649"/>
      <w:bookmarkStart w:id="186" w:name="_Toc505093169"/>
      <w:bookmarkStart w:id="187" w:name="_Toc266"/>
    </w:p>
    <w:p w14:paraId="761B9540">
      <w:pPr>
        <w:jc w:val="center"/>
        <w:outlineLvl w:val="0"/>
        <w:rPr>
          <w:rFonts w:hint="eastAsia" w:ascii="宋体" w:hAnsi="宋体" w:eastAsia="宋体" w:cs="宋体"/>
          <w:b/>
          <w:bCs/>
          <w:color w:val="auto"/>
          <w:sz w:val="32"/>
          <w:szCs w:val="32"/>
          <w:highlight w:val="none"/>
        </w:rPr>
      </w:pPr>
      <w:bookmarkStart w:id="188" w:name="_Toc21471"/>
    </w:p>
    <w:p w14:paraId="604E28AE">
      <w:pPr>
        <w:jc w:val="center"/>
        <w:outlineLvl w:val="0"/>
        <w:rPr>
          <w:rFonts w:hint="eastAsia" w:ascii="宋体" w:hAnsi="宋体" w:eastAsia="宋体" w:cs="宋体"/>
          <w:b/>
          <w:bCs/>
          <w:color w:val="auto"/>
          <w:sz w:val="32"/>
          <w:szCs w:val="32"/>
          <w:highlight w:val="none"/>
        </w:rPr>
      </w:pPr>
    </w:p>
    <w:p w14:paraId="6E0D7F4D">
      <w:pPr>
        <w:jc w:val="center"/>
        <w:outlineLvl w:val="0"/>
        <w:rPr>
          <w:rFonts w:hint="eastAsia" w:ascii="宋体" w:hAnsi="宋体" w:eastAsia="宋体" w:cs="宋体"/>
          <w:b/>
          <w:bCs/>
          <w:color w:val="auto"/>
          <w:sz w:val="32"/>
          <w:szCs w:val="32"/>
          <w:highlight w:val="none"/>
        </w:rPr>
      </w:pPr>
    </w:p>
    <w:p w14:paraId="044E435C">
      <w:pPr>
        <w:jc w:val="center"/>
        <w:outlineLvl w:val="0"/>
        <w:rPr>
          <w:rFonts w:hint="eastAsia" w:ascii="宋体" w:hAnsi="宋体" w:eastAsia="宋体" w:cs="宋体"/>
          <w:b/>
          <w:bCs/>
          <w:color w:val="auto"/>
          <w:sz w:val="32"/>
          <w:szCs w:val="32"/>
          <w:highlight w:val="none"/>
        </w:rPr>
      </w:pPr>
    </w:p>
    <w:p w14:paraId="4EBC7064">
      <w:pPr>
        <w:jc w:val="center"/>
        <w:outlineLvl w:val="0"/>
        <w:rPr>
          <w:rFonts w:hint="eastAsia" w:ascii="宋体" w:hAnsi="宋体" w:eastAsia="宋体" w:cs="宋体"/>
          <w:b/>
          <w:bCs/>
          <w:color w:val="auto"/>
          <w:sz w:val="32"/>
          <w:szCs w:val="32"/>
          <w:highlight w:val="none"/>
        </w:rPr>
      </w:pPr>
    </w:p>
    <w:p w14:paraId="6333A402">
      <w:pPr>
        <w:jc w:val="center"/>
        <w:outlineLvl w:val="0"/>
        <w:rPr>
          <w:rFonts w:hint="eastAsia" w:ascii="宋体" w:hAnsi="宋体" w:eastAsia="宋体" w:cs="宋体"/>
          <w:b/>
          <w:bCs/>
          <w:color w:val="auto"/>
          <w:sz w:val="32"/>
          <w:szCs w:val="32"/>
          <w:highlight w:val="none"/>
        </w:rPr>
      </w:pPr>
    </w:p>
    <w:p w14:paraId="0115BFED">
      <w:pPr>
        <w:jc w:val="center"/>
        <w:outlineLvl w:val="0"/>
        <w:rPr>
          <w:rFonts w:hint="eastAsia" w:ascii="宋体" w:hAnsi="宋体" w:eastAsia="宋体" w:cs="宋体"/>
          <w:b/>
          <w:bCs/>
          <w:color w:val="auto"/>
          <w:sz w:val="32"/>
          <w:szCs w:val="32"/>
          <w:highlight w:val="none"/>
        </w:rPr>
      </w:pPr>
    </w:p>
    <w:p w14:paraId="78EE77AD">
      <w:pPr>
        <w:jc w:val="center"/>
        <w:outlineLvl w:val="0"/>
        <w:rPr>
          <w:rFonts w:hint="eastAsia" w:ascii="宋体" w:hAnsi="宋体" w:eastAsia="宋体" w:cs="宋体"/>
          <w:color w:val="auto"/>
          <w:sz w:val="24"/>
          <w:szCs w:val="24"/>
          <w:highlight w:val="none"/>
        </w:rPr>
      </w:pPr>
      <w:r>
        <w:rPr>
          <w:rFonts w:hint="eastAsia" w:ascii="宋体" w:hAnsi="宋体" w:eastAsia="宋体" w:cs="宋体"/>
          <w:b/>
          <w:bCs/>
          <w:color w:val="auto"/>
          <w:sz w:val="32"/>
          <w:szCs w:val="32"/>
          <w:highlight w:val="none"/>
        </w:rPr>
        <w:t>第三章 评标办法 （综合评分法）</w:t>
      </w:r>
      <w:bookmarkEnd w:id="183"/>
      <w:bookmarkEnd w:id="184"/>
      <w:bookmarkEnd w:id="188"/>
      <w:bookmarkStart w:id="189" w:name="_Toc27124"/>
      <w:bookmarkStart w:id="190" w:name="_Toc13551"/>
      <w:bookmarkStart w:id="191" w:name="_Toc4539"/>
      <w:bookmarkStart w:id="192" w:name="_Toc26488"/>
      <w:bookmarkStart w:id="193" w:name="_Toc32707"/>
    </w:p>
    <w:p w14:paraId="77F7F91C">
      <w:pPr>
        <w:pStyle w:val="4"/>
        <w:spacing w:before="0" w:after="0" w:line="360" w:lineRule="auto"/>
        <w:jc w:val="center"/>
        <w:outlineLvl w:val="1"/>
        <w:rPr>
          <w:rFonts w:hint="eastAsia" w:ascii="宋体" w:hAnsi="宋体" w:eastAsia="宋体" w:cs="宋体"/>
          <w:color w:val="auto"/>
          <w:highlight w:val="none"/>
        </w:rPr>
      </w:pPr>
      <w:r>
        <w:rPr>
          <w:rFonts w:hint="eastAsia" w:ascii="宋体" w:hAnsi="宋体" w:eastAsia="宋体" w:cs="宋体"/>
          <w:color w:val="auto"/>
          <w:sz w:val="24"/>
          <w:szCs w:val="24"/>
          <w:highlight w:val="none"/>
        </w:rPr>
        <w:t>评标办法前附表</w:t>
      </w:r>
      <w:bookmarkEnd w:id="189"/>
      <w:bookmarkEnd w:id="190"/>
      <w:bookmarkEnd w:id="191"/>
      <w:bookmarkEnd w:id="192"/>
      <w:bookmarkEnd w:id="193"/>
    </w:p>
    <w:bookmarkEnd w:id="185"/>
    <w:bookmarkEnd w:id="186"/>
    <w:bookmarkEnd w:id="187"/>
    <w:tbl>
      <w:tblPr>
        <w:tblStyle w:val="43"/>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157"/>
        <w:gridCol w:w="1523"/>
        <w:gridCol w:w="5936"/>
      </w:tblGrid>
      <w:tr w14:paraId="73D64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9" w:type="dxa"/>
            <w:gridSpan w:val="2"/>
            <w:tcMar>
              <w:left w:w="57" w:type="dxa"/>
              <w:right w:w="57" w:type="dxa"/>
            </w:tcMar>
            <w:vAlign w:val="center"/>
          </w:tcPr>
          <w:p w14:paraId="7D49376D">
            <w:pPr>
              <w:snapToGrid w:val="0"/>
              <w:spacing w:line="480" w:lineRule="exact"/>
              <w:jc w:val="cente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条款号</w:t>
            </w:r>
          </w:p>
        </w:tc>
        <w:tc>
          <w:tcPr>
            <w:tcW w:w="1523" w:type="dxa"/>
            <w:tcMar>
              <w:left w:w="57" w:type="dxa"/>
              <w:right w:w="57" w:type="dxa"/>
            </w:tcMar>
            <w:vAlign w:val="center"/>
          </w:tcPr>
          <w:p w14:paraId="76A6D661">
            <w:pPr>
              <w:snapToGrid w:val="0"/>
              <w:spacing w:line="480" w:lineRule="exact"/>
              <w:jc w:val="cente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评审因素</w:t>
            </w:r>
          </w:p>
        </w:tc>
        <w:tc>
          <w:tcPr>
            <w:tcW w:w="5936" w:type="dxa"/>
            <w:tcMar>
              <w:left w:w="57" w:type="dxa"/>
              <w:right w:w="57" w:type="dxa"/>
            </w:tcMar>
            <w:vAlign w:val="center"/>
          </w:tcPr>
          <w:p w14:paraId="2825C1CD">
            <w:pPr>
              <w:snapToGrid w:val="0"/>
              <w:spacing w:line="480" w:lineRule="exact"/>
              <w:jc w:val="center"/>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评审标准</w:t>
            </w:r>
          </w:p>
        </w:tc>
      </w:tr>
      <w:tr w14:paraId="20A70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842" w:type="dxa"/>
            <w:vMerge w:val="restart"/>
            <w:tcMar>
              <w:left w:w="57" w:type="dxa"/>
              <w:right w:w="57" w:type="dxa"/>
            </w:tcMar>
            <w:vAlign w:val="center"/>
          </w:tcPr>
          <w:p w14:paraId="1756E0DB">
            <w:pPr>
              <w:snapToGrid w:val="0"/>
              <w:spacing w:line="480" w:lineRule="exact"/>
              <w:jc w:val="center"/>
              <w:rPr>
                <w:rFonts w:hint="eastAsia" w:ascii="宋体" w:hAnsi="宋体" w:eastAsia="宋体" w:cs="宋体"/>
                <w:color w:val="auto"/>
                <w:highlight w:val="none"/>
              </w:rPr>
            </w:pPr>
            <w:r>
              <w:rPr>
                <w:rFonts w:hint="eastAsia" w:ascii="宋体" w:hAnsi="宋体" w:eastAsia="宋体" w:cs="宋体"/>
                <w:color w:val="auto"/>
                <w:sz w:val="24"/>
                <w:highlight w:val="none"/>
              </w:rPr>
              <w:t>2.1.1</w:t>
            </w:r>
          </w:p>
        </w:tc>
        <w:tc>
          <w:tcPr>
            <w:tcW w:w="1157" w:type="dxa"/>
            <w:vMerge w:val="restart"/>
            <w:tcMar>
              <w:left w:w="57" w:type="dxa"/>
              <w:right w:w="57" w:type="dxa"/>
            </w:tcMar>
            <w:vAlign w:val="center"/>
          </w:tcPr>
          <w:p w14:paraId="561C4110">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形式评审标准</w:t>
            </w:r>
          </w:p>
        </w:tc>
        <w:tc>
          <w:tcPr>
            <w:tcW w:w="1523" w:type="dxa"/>
            <w:tcMar>
              <w:left w:w="57" w:type="dxa"/>
              <w:right w:w="57" w:type="dxa"/>
            </w:tcMar>
            <w:vAlign w:val="center"/>
          </w:tcPr>
          <w:p w14:paraId="121893E7">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5936" w:type="dxa"/>
            <w:tcMar>
              <w:left w:w="57" w:type="dxa"/>
              <w:right w:w="57" w:type="dxa"/>
            </w:tcMar>
            <w:vAlign w:val="center"/>
          </w:tcPr>
          <w:p w14:paraId="38AC2CCF">
            <w:pPr>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与营业执照一致。</w:t>
            </w:r>
          </w:p>
        </w:tc>
      </w:tr>
      <w:tr w14:paraId="55CF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42" w:type="dxa"/>
            <w:vMerge w:val="continue"/>
            <w:tcMar>
              <w:left w:w="57" w:type="dxa"/>
              <w:right w:w="57" w:type="dxa"/>
            </w:tcMar>
            <w:vAlign w:val="center"/>
          </w:tcPr>
          <w:p w14:paraId="66579FF5">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735CD699">
            <w:pPr>
              <w:snapToGrid w:val="0"/>
              <w:spacing w:line="480" w:lineRule="exact"/>
              <w:jc w:val="center"/>
              <w:rPr>
                <w:rFonts w:hint="eastAsia" w:ascii="宋体" w:hAnsi="宋体" w:eastAsia="宋体" w:cs="宋体"/>
                <w:color w:val="auto"/>
                <w:sz w:val="24"/>
                <w:highlight w:val="none"/>
              </w:rPr>
            </w:pPr>
          </w:p>
        </w:tc>
        <w:tc>
          <w:tcPr>
            <w:tcW w:w="1523" w:type="dxa"/>
            <w:tcMar>
              <w:left w:w="57" w:type="dxa"/>
              <w:right w:w="57" w:type="dxa"/>
            </w:tcMar>
            <w:vAlign w:val="center"/>
          </w:tcPr>
          <w:p w14:paraId="27C86956">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投标函签字盖章</w:t>
            </w:r>
          </w:p>
        </w:tc>
        <w:tc>
          <w:tcPr>
            <w:tcW w:w="5936" w:type="dxa"/>
            <w:tcMar>
              <w:left w:w="57" w:type="dxa"/>
              <w:right w:w="57" w:type="dxa"/>
            </w:tcMar>
            <w:vAlign w:val="center"/>
          </w:tcPr>
          <w:p w14:paraId="0A46C9BD">
            <w:pPr>
              <w:snapToGrid w:val="0"/>
              <w:spacing w:line="48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符合第二章“投标人须知”规定</w:t>
            </w:r>
            <w:r>
              <w:rPr>
                <w:rFonts w:hint="eastAsia" w:ascii="宋体" w:hAnsi="宋体" w:cs="宋体"/>
                <w:color w:val="auto"/>
                <w:sz w:val="24"/>
                <w:highlight w:val="none"/>
                <w:lang w:eastAsia="zh-CN"/>
              </w:rPr>
              <w:t>。</w:t>
            </w:r>
          </w:p>
        </w:tc>
      </w:tr>
      <w:tr w14:paraId="0CD9A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42" w:type="dxa"/>
            <w:vMerge w:val="continue"/>
            <w:tcMar>
              <w:left w:w="57" w:type="dxa"/>
              <w:right w:w="57" w:type="dxa"/>
            </w:tcMar>
            <w:vAlign w:val="center"/>
          </w:tcPr>
          <w:p w14:paraId="388A79A4">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042D1D9C">
            <w:pPr>
              <w:snapToGrid w:val="0"/>
              <w:spacing w:line="480" w:lineRule="exact"/>
              <w:jc w:val="center"/>
              <w:rPr>
                <w:rFonts w:hint="eastAsia" w:ascii="宋体" w:hAnsi="宋体" w:eastAsia="宋体" w:cs="宋体"/>
                <w:color w:val="auto"/>
                <w:sz w:val="24"/>
                <w:highlight w:val="none"/>
              </w:rPr>
            </w:pPr>
          </w:p>
        </w:tc>
        <w:tc>
          <w:tcPr>
            <w:tcW w:w="1523" w:type="dxa"/>
            <w:tcMar>
              <w:left w:w="57" w:type="dxa"/>
              <w:right w:w="57" w:type="dxa"/>
            </w:tcMar>
            <w:vAlign w:val="center"/>
          </w:tcPr>
          <w:p w14:paraId="469D8DA3">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投标文件格式</w:t>
            </w:r>
          </w:p>
        </w:tc>
        <w:tc>
          <w:tcPr>
            <w:tcW w:w="5936" w:type="dxa"/>
            <w:tcMar>
              <w:left w:w="57" w:type="dxa"/>
              <w:right w:w="57" w:type="dxa"/>
            </w:tcMar>
            <w:vAlign w:val="center"/>
          </w:tcPr>
          <w:p w14:paraId="4D26F145">
            <w:pPr>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符合第六章“投标文件格式”的要求。</w:t>
            </w:r>
          </w:p>
        </w:tc>
      </w:tr>
      <w:tr w14:paraId="422D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42" w:type="dxa"/>
            <w:vMerge w:val="continue"/>
            <w:tcMar>
              <w:left w:w="57" w:type="dxa"/>
              <w:right w:w="57" w:type="dxa"/>
            </w:tcMar>
            <w:vAlign w:val="center"/>
          </w:tcPr>
          <w:p w14:paraId="70E03DFE">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1E32E72A">
            <w:pPr>
              <w:snapToGrid w:val="0"/>
              <w:spacing w:line="480" w:lineRule="exact"/>
              <w:jc w:val="center"/>
              <w:rPr>
                <w:rFonts w:hint="eastAsia" w:ascii="宋体" w:hAnsi="宋体" w:eastAsia="宋体" w:cs="宋体"/>
                <w:color w:val="auto"/>
                <w:sz w:val="24"/>
                <w:highlight w:val="none"/>
              </w:rPr>
            </w:pPr>
          </w:p>
        </w:tc>
        <w:tc>
          <w:tcPr>
            <w:tcW w:w="1523" w:type="dxa"/>
            <w:tcMar>
              <w:left w:w="57" w:type="dxa"/>
              <w:right w:w="57" w:type="dxa"/>
            </w:tcMar>
            <w:vAlign w:val="center"/>
          </w:tcPr>
          <w:p w14:paraId="304EAD21">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报价唯一</w:t>
            </w:r>
          </w:p>
        </w:tc>
        <w:tc>
          <w:tcPr>
            <w:tcW w:w="5936" w:type="dxa"/>
            <w:tcMar>
              <w:left w:w="57" w:type="dxa"/>
              <w:right w:w="57" w:type="dxa"/>
            </w:tcMar>
            <w:vAlign w:val="center"/>
          </w:tcPr>
          <w:p w14:paraId="50986182">
            <w:pPr>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只能有一个有效报价，且不超过</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控制价。</w:t>
            </w:r>
          </w:p>
        </w:tc>
      </w:tr>
      <w:tr w14:paraId="068C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42" w:type="dxa"/>
            <w:vMerge w:val="restart"/>
            <w:tcMar>
              <w:left w:w="57" w:type="dxa"/>
              <w:right w:w="57" w:type="dxa"/>
            </w:tcMar>
            <w:vAlign w:val="center"/>
          </w:tcPr>
          <w:p w14:paraId="5FF9825C">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2.1.2</w:t>
            </w:r>
          </w:p>
        </w:tc>
        <w:tc>
          <w:tcPr>
            <w:tcW w:w="1157" w:type="dxa"/>
            <w:vMerge w:val="restart"/>
            <w:tcMar>
              <w:left w:w="57" w:type="dxa"/>
              <w:right w:w="57" w:type="dxa"/>
            </w:tcMar>
            <w:vAlign w:val="center"/>
          </w:tcPr>
          <w:p w14:paraId="7F6C0E73">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资格评审标准</w:t>
            </w:r>
          </w:p>
        </w:tc>
        <w:tc>
          <w:tcPr>
            <w:tcW w:w="1523" w:type="dxa"/>
            <w:tcMar>
              <w:left w:w="57" w:type="dxa"/>
              <w:right w:w="57" w:type="dxa"/>
            </w:tcMar>
            <w:vAlign w:val="center"/>
          </w:tcPr>
          <w:p w14:paraId="24A8D98C">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w:t>
            </w:r>
          </w:p>
        </w:tc>
        <w:tc>
          <w:tcPr>
            <w:tcW w:w="5936" w:type="dxa"/>
            <w:vAlign w:val="center"/>
          </w:tcPr>
          <w:p w14:paraId="2C21415C">
            <w:pPr>
              <w:spacing w:line="360" w:lineRule="auto"/>
              <w:rPr>
                <w:rFonts w:hint="eastAsia" w:ascii="宋体" w:hAnsi="宋体" w:eastAsia="宋体" w:cs="宋体"/>
                <w:color w:val="auto"/>
                <w:sz w:val="24"/>
                <w:highlight w:val="none"/>
              </w:rPr>
            </w:pPr>
            <w:r>
              <w:rPr>
                <w:rFonts w:hint="eastAsia" w:ascii="宋体" w:hAnsi="宋体" w:cs="宋体"/>
                <w:b w:val="0"/>
                <w:bCs w:val="0"/>
                <w:color w:val="auto"/>
                <w:sz w:val="24"/>
                <w:szCs w:val="28"/>
                <w:highlight w:val="none"/>
                <w:lang w:val="en-US" w:eastAsia="zh-CN"/>
              </w:rPr>
              <w:t>投标人须具有有效的营业执照</w:t>
            </w:r>
            <w:r>
              <w:rPr>
                <w:rFonts w:hint="eastAsia" w:ascii="宋体" w:hAnsi="宋体" w:cs="宋体"/>
                <w:b/>
                <w:bCs/>
                <w:color w:val="auto"/>
                <w:sz w:val="24"/>
                <w:szCs w:val="28"/>
                <w:highlight w:val="none"/>
                <w:lang w:val="en-US" w:eastAsia="zh-CN"/>
              </w:rPr>
              <w:t>（</w:t>
            </w:r>
            <w:r>
              <w:rPr>
                <w:rFonts w:ascii="宋体" w:hAnsi="宋体" w:cs="宋体"/>
                <w:b/>
                <w:bCs/>
                <w:color w:val="auto"/>
                <w:sz w:val="24"/>
                <w:highlight w:val="none"/>
              </w:rPr>
              <w:t>本项目允许</w:t>
            </w:r>
            <w:r>
              <w:rPr>
                <w:rFonts w:hint="eastAsia" w:ascii="宋体" w:hAnsi="宋体" w:cs="宋体"/>
                <w:b/>
                <w:bCs/>
                <w:color w:val="auto"/>
                <w:sz w:val="24"/>
                <w:highlight w:val="none"/>
                <w:lang w:val="en-US" w:eastAsia="zh-CN"/>
              </w:rPr>
              <w:t>分公司</w:t>
            </w:r>
            <w:r>
              <w:rPr>
                <w:rFonts w:ascii="宋体" w:hAnsi="宋体" w:cs="宋体"/>
                <w:b/>
                <w:bCs/>
                <w:color w:val="auto"/>
                <w:sz w:val="24"/>
                <w:highlight w:val="none"/>
              </w:rPr>
              <w:t>参与投标</w:t>
            </w:r>
            <w:r>
              <w:rPr>
                <w:rFonts w:hint="eastAsia" w:ascii="宋体" w:hAnsi="宋体" w:cs="宋体"/>
                <w:b/>
                <w:bCs/>
                <w:color w:val="auto"/>
                <w:sz w:val="24"/>
                <w:highlight w:val="none"/>
              </w:rPr>
              <w:t>,</w:t>
            </w:r>
            <w:r>
              <w:rPr>
                <w:rFonts w:ascii="宋体" w:hAnsi="宋体" w:cs="宋体"/>
                <w:b/>
                <w:bCs/>
                <w:color w:val="auto"/>
                <w:sz w:val="24"/>
                <w:highlight w:val="none"/>
              </w:rPr>
              <w:t>可使用其总公司的人员、资质、业绩等</w:t>
            </w:r>
            <w:r>
              <w:rPr>
                <w:rFonts w:hint="eastAsia" w:ascii="宋体" w:hAnsi="宋体" w:cs="宋体"/>
                <w:b/>
                <w:bCs/>
                <w:color w:val="auto"/>
                <w:sz w:val="24"/>
                <w:highlight w:val="none"/>
                <w:lang w:val="en-US" w:eastAsia="zh-CN"/>
              </w:rPr>
              <w:t>材料</w:t>
            </w:r>
            <w:r>
              <w:rPr>
                <w:rFonts w:ascii="宋体" w:hAnsi="宋体" w:cs="宋体"/>
                <w:b/>
                <w:bCs/>
                <w:color w:val="auto"/>
                <w:sz w:val="24"/>
                <w:highlight w:val="none"/>
              </w:rPr>
              <w:t>，</w:t>
            </w:r>
            <w:r>
              <w:rPr>
                <w:rFonts w:hint="eastAsia" w:ascii="宋体" w:hAnsi="宋体"/>
                <w:b/>
                <w:bCs/>
                <w:iCs/>
                <w:color w:val="auto"/>
                <w:sz w:val="24"/>
                <w:highlight w:val="none"/>
              </w:rPr>
              <w:t>须提供其具有独立法人资格的上级总(母)公司对其出具的有效授权</w:t>
            </w:r>
            <w:r>
              <w:rPr>
                <w:rFonts w:hint="eastAsia" w:ascii="宋体" w:hAnsi="宋体"/>
                <w:b/>
                <w:bCs/>
                <w:iCs/>
                <w:color w:val="auto"/>
                <w:sz w:val="24"/>
                <w:highlight w:val="none"/>
                <w:lang w:val="en-US" w:eastAsia="zh-CN"/>
              </w:rPr>
              <w:t>书</w:t>
            </w:r>
            <w:r>
              <w:rPr>
                <w:rFonts w:hint="eastAsia" w:ascii="宋体" w:hAnsi="宋体"/>
                <w:b/>
                <w:bCs/>
                <w:iCs/>
                <w:color w:val="auto"/>
                <w:sz w:val="24"/>
                <w:highlight w:val="none"/>
              </w:rPr>
              <w:t>。同一公司的不同分(子)公司,不得同时参加本项目投标</w:t>
            </w:r>
            <w:r>
              <w:rPr>
                <w:rFonts w:hint="eastAsia" w:ascii="宋体" w:hAnsi="宋体" w:cs="宋体"/>
                <w:b/>
                <w:bCs/>
                <w:color w:val="auto"/>
                <w:sz w:val="24"/>
                <w:szCs w:val="28"/>
                <w:highlight w:val="none"/>
                <w:lang w:val="en-US" w:eastAsia="zh-CN"/>
              </w:rPr>
              <w:t>）；</w:t>
            </w:r>
          </w:p>
        </w:tc>
      </w:tr>
      <w:tr w14:paraId="19E6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842" w:type="dxa"/>
            <w:vMerge w:val="continue"/>
            <w:tcMar>
              <w:left w:w="57" w:type="dxa"/>
              <w:right w:w="57" w:type="dxa"/>
            </w:tcMar>
            <w:vAlign w:val="center"/>
          </w:tcPr>
          <w:p w14:paraId="262125B9">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4B0B98AA">
            <w:pPr>
              <w:snapToGrid w:val="0"/>
              <w:spacing w:line="480" w:lineRule="exact"/>
              <w:jc w:val="center"/>
              <w:rPr>
                <w:rFonts w:hint="eastAsia" w:ascii="宋体" w:hAnsi="宋体" w:eastAsia="宋体" w:cs="宋体"/>
                <w:color w:val="auto"/>
                <w:sz w:val="24"/>
                <w:highlight w:val="none"/>
              </w:rPr>
            </w:pPr>
          </w:p>
        </w:tc>
        <w:tc>
          <w:tcPr>
            <w:tcW w:w="1523" w:type="dxa"/>
            <w:tcMar>
              <w:left w:w="57" w:type="dxa"/>
              <w:right w:w="57" w:type="dxa"/>
            </w:tcMar>
            <w:vAlign w:val="center"/>
          </w:tcPr>
          <w:p w14:paraId="75ABD537">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无商业贿赂及无不正当竞争行为的承诺书</w:t>
            </w:r>
            <w:r>
              <w:rPr>
                <w:rFonts w:hint="eastAsia" w:ascii="宋体" w:hAnsi="宋体" w:cs="宋体"/>
                <w:color w:val="auto"/>
                <w:sz w:val="24"/>
                <w:highlight w:val="none"/>
                <w:lang w:val="en-US" w:eastAsia="zh-CN"/>
              </w:rPr>
              <w:t>和无重大违法记录承诺书</w:t>
            </w:r>
          </w:p>
        </w:tc>
        <w:tc>
          <w:tcPr>
            <w:tcW w:w="5936" w:type="dxa"/>
            <w:vAlign w:val="center"/>
          </w:tcPr>
          <w:p w14:paraId="5E642AA8">
            <w:pPr>
              <w:spacing w:line="490" w:lineRule="exact"/>
              <w:outlineLvl w:val="0"/>
              <w:rPr>
                <w:rFonts w:hint="eastAsia" w:ascii="宋体" w:hAnsi="宋体" w:eastAsia="宋体" w:cs="宋体"/>
                <w:color w:val="auto"/>
                <w:sz w:val="24"/>
                <w:highlight w:val="none"/>
              </w:rPr>
            </w:pPr>
            <w:bookmarkStart w:id="194" w:name="_Toc25234"/>
            <w:r>
              <w:rPr>
                <w:rFonts w:hint="eastAsia" w:ascii="宋体" w:hAnsi="宋体" w:eastAsia="宋体" w:cs="宋体"/>
                <w:b w:val="0"/>
                <w:bCs w:val="0"/>
                <w:color w:val="auto"/>
                <w:sz w:val="24"/>
                <w:highlight w:val="none"/>
                <w:lang w:val="en-US" w:eastAsia="zh-CN"/>
              </w:rPr>
              <w:t>投标人须自行出具本单位无商业贿赂及无不正当竞争行为的承诺书</w:t>
            </w:r>
            <w:r>
              <w:rPr>
                <w:rFonts w:hint="eastAsia" w:ascii="宋体" w:hAnsi="宋体" w:cs="宋体"/>
                <w:b w:val="0"/>
                <w:bCs w:val="0"/>
                <w:color w:val="auto"/>
                <w:sz w:val="24"/>
                <w:highlight w:val="none"/>
                <w:lang w:val="en-US" w:eastAsia="zh-CN"/>
              </w:rPr>
              <w:t>和参加政府采购活动前三年内在经营活动中没有重大违法记录承诺书</w:t>
            </w:r>
            <w:r>
              <w:rPr>
                <w:rFonts w:hint="eastAsia" w:ascii="宋体" w:hAnsi="宋体" w:eastAsia="宋体" w:cs="宋体"/>
                <w:b w:val="0"/>
                <w:bCs w:val="0"/>
                <w:color w:val="auto"/>
                <w:sz w:val="24"/>
                <w:highlight w:val="none"/>
                <w:lang w:val="en-US" w:eastAsia="zh-CN"/>
              </w:rPr>
              <w:t>；</w:t>
            </w:r>
            <w:bookmarkEnd w:id="194"/>
          </w:p>
        </w:tc>
      </w:tr>
      <w:tr w14:paraId="2018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42" w:type="dxa"/>
            <w:vMerge w:val="continue"/>
            <w:tcMar>
              <w:left w:w="57" w:type="dxa"/>
              <w:right w:w="57" w:type="dxa"/>
            </w:tcMar>
            <w:vAlign w:val="center"/>
          </w:tcPr>
          <w:p w14:paraId="3A6812F6">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2EEF1B98">
            <w:pPr>
              <w:snapToGrid w:val="0"/>
              <w:spacing w:line="480" w:lineRule="exact"/>
              <w:jc w:val="center"/>
              <w:rPr>
                <w:rFonts w:hint="eastAsia" w:ascii="宋体" w:hAnsi="宋体" w:eastAsia="宋体" w:cs="宋体"/>
                <w:color w:val="auto"/>
                <w:sz w:val="24"/>
                <w:highlight w:val="none"/>
              </w:rPr>
            </w:pPr>
          </w:p>
        </w:tc>
        <w:tc>
          <w:tcPr>
            <w:tcW w:w="1523" w:type="dxa"/>
            <w:tcMar>
              <w:left w:w="57" w:type="dxa"/>
              <w:right w:w="57" w:type="dxa"/>
            </w:tcMar>
            <w:vAlign w:val="center"/>
          </w:tcPr>
          <w:p w14:paraId="37C534F3">
            <w:pPr>
              <w:snapToGrid w:val="0"/>
              <w:spacing w:line="48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网站</w:t>
            </w:r>
            <w:r>
              <w:rPr>
                <w:rFonts w:hint="eastAsia" w:ascii="宋体" w:hAnsi="宋体" w:eastAsia="宋体" w:cs="宋体"/>
                <w:color w:val="auto"/>
                <w:sz w:val="24"/>
                <w:highlight w:val="none"/>
              </w:rPr>
              <w:t>查询结果</w:t>
            </w:r>
          </w:p>
        </w:tc>
        <w:tc>
          <w:tcPr>
            <w:tcW w:w="5936" w:type="dxa"/>
            <w:vAlign w:val="center"/>
          </w:tcPr>
          <w:p w14:paraId="2EDEC000">
            <w:pPr>
              <w:keepNext w:val="0"/>
              <w:keepLines w:val="0"/>
              <w:pageBreakBefore w:val="0"/>
              <w:widowControl w:val="0"/>
              <w:kinsoku/>
              <w:wordWrap w:val="0"/>
              <w:overflowPunct/>
              <w:topLinePunct w:val="0"/>
              <w:autoSpaceDE/>
              <w:autoSpaceDN/>
              <w:bidi w:val="0"/>
              <w:adjustRightInd w:val="0"/>
              <w:snapToGrid w:val="0"/>
              <w:spacing w:line="480" w:lineRule="exact"/>
              <w:jc w:val="left"/>
              <w:textAlignment w:val="baseline"/>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根据</w:t>
            </w:r>
            <w:r>
              <w:rPr>
                <w:rFonts w:hint="eastAsia" w:ascii="宋体" w:hAnsi="宋体" w:eastAsia="宋体" w:cs="宋体"/>
                <w:b w:val="0"/>
                <w:bCs w:val="0"/>
                <w:color w:val="auto"/>
                <w:sz w:val="24"/>
                <w:highlight w:val="none"/>
                <w:lang w:val="en-US" w:eastAsia="zh-CN" w:bidi="ar"/>
              </w:rPr>
              <w:t>《</w:t>
            </w:r>
            <w:r>
              <w:rPr>
                <w:rFonts w:hint="eastAsia" w:ascii="宋体" w:hAnsi="宋体" w:eastAsia="宋体" w:cs="宋体"/>
                <w:color w:val="auto"/>
                <w:sz w:val="24"/>
                <w:highlight w:val="none"/>
                <w:lang w:val="en-US" w:eastAsia="zh-CN" w:bidi="ar"/>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color w:val="auto"/>
                <w:sz w:val="24"/>
                <w:highlight w:val="none"/>
                <w:lang w:val="en-US" w:eastAsia="zh-CN" w:bidi="ar"/>
              </w:rPr>
              <w:t>投标人</w:t>
            </w:r>
            <w:r>
              <w:rPr>
                <w:rFonts w:hint="eastAsia" w:ascii="宋体" w:hAnsi="宋体" w:eastAsia="宋体" w:cs="宋体"/>
                <w:color w:val="auto"/>
                <w:sz w:val="24"/>
                <w:highlight w:val="none"/>
                <w:lang w:val="en-US" w:eastAsia="zh-CN" w:bidi="ar"/>
              </w:rPr>
              <w:t>，拒绝参与本项目采购活动；</w:t>
            </w:r>
            <w:r>
              <w:rPr>
                <w:rFonts w:hint="eastAsia" w:ascii="宋体" w:hAnsi="宋体" w:cs="宋体"/>
                <w:color w:val="auto"/>
                <w:sz w:val="24"/>
                <w:highlight w:val="none"/>
                <w:lang w:val="en-US" w:eastAsia="zh-CN"/>
              </w:rPr>
              <w:t>查询渠道</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①</w:t>
            </w:r>
            <w:r>
              <w:rPr>
                <w:rFonts w:hint="eastAsia" w:ascii="宋体" w:hAnsi="宋体" w:cs="宋体"/>
                <w:color w:val="auto"/>
                <w:sz w:val="24"/>
                <w:highlight w:val="none"/>
                <w:lang w:val="en-US" w:eastAsia="zh-CN"/>
              </w:rPr>
              <w:t>中国执行信息公开网（</w:t>
            </w:r>
            <w:r>
              <w:rPr>
                <w:rFonts w:hint="eastAsia" w:asciiTheme="minorEastAsia" w:hAnsiTheme="minorEastAsia" w:eastAsiaTheme="minorEastAsia" w:cstheme="minorEastAsia"/>
                <w:color w:val="auto"/>
                <w:sz w:val="24"/>
                <w:szCs w:val="24"/>
                <w:highlight w:val="none"/>
                <w:lang w:val="en-US" w:eastAsia="zh-CN"/>
              </w:rPr>
              <w:t>https://zxgk.court.gov.cn/shixin</w:t>
            </w:r>
            <w:r>
              <w:rPr>
                <w:rFonts w:hint="eastAsia" w:ascii="宋体" w:hAnsi="宋体" w:cs="宋体"/>
                <w:color w:val="auto"/>
                <w:sz w:val="24"/>
                <w:highlight w:val="none"/>
                <w:lang w:val="en-US" w:eastAsia="zh-CN"/>
              </w:rPr>
              <w:t>）查询内容：失信被执行人</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②</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信用中国”网站（</w:t>
            </w:r>
            <w:r>
              <w:rPr>
                <w:rFonts w:hint="eastAsia" w:asciiTheme="minorEastAsia" w:hAnsiTheme="minorEastAsia" w:eastAsiaTheme="minorEastAsia" w:cstheme="minorEastAsia"/>
                <w:color w:val="auto"/>
                <w:sz w:val="24"/>
                <w:szCs w:val="24"/>
                <w:highlight w:val="none"/>
                <w:lang w:val="en-US" w:eastAsia="zh-CN"/>
              </w:rPr>
              <w:t>https://www.creditchina.gov.cn/zhuanxiangchaxun/</w:t>
            </w:r>
            <w:r>
              <w:rPr>
                <w:rFonts w:hint="eastAsia" w:ascii="宋体" w:hAnsi="宋体" w:cs="宋体"/>
                <w:color w:val="auto"/>
                <w:sz w:val="24"/>
                <w:highlight w:val="none"/>
                <w:lang w:val="en-US" w:eastAsia="zh-CN"/>
              </w:rPr>
              <w:t>），查询内容：重大税收违法失信主体；</w:t>
            </w:r>
            <w:r>
              <w:rPr>
                <w:rFonts w:hint="default" w:ascii="宋体" w:hAnsi="宋体" w:eastAsia="宋体" w:cs="宋体"/>
                <w:color w:val="auto"/>
                <w:sz w:val="24"/>
                <w:highlight w:val="none"/>
                <w:lang w:val="en-US" w:eastAsia="zh-CN"/>
              </w:rPr>
              <w:t>③</w:t>
            </w:r>
            <w:r>
              <w:rPr>
                <w:rFonts w:hint="eastAsia" w:ascii="宋体" w:hAnsi="宋体" w:eastAsia="宋体" w:cs="宋体"/>
                <w:color w:val="auto"/>
                <w:sz w:val="24"/>
                <w:highlight w:val="none"/>
                <w:lang w:val="en-US" w:eastAsia="zh-CN"/>
              </w:rPr>
              <w:t>中</w:t>
            </w:r>
            <w:r>
              <w:rPr>
                <w:rFonts w:hint="eastAsia" w:ascii="宋体" w:hAnsi="宋体" w:cs="宋体"/>
                <w:color w:val="auto"/>
                <w:sz w:val="24"/>
                <w:highlight w:val="none"/>
                <w:lang w:val="en-US" w:eastAsia="zh-CN"/>
              </w:rPr>
              <w:t>国政府采购网（</w:t>
            </w:r>
            <w:r>
              <w:rPr>
                <w:rFonts w:hint="eastAsia" w:asciiTheme="minorEastAsia" w:hAnsiTheme="minorEastAsia" w:eastAsiaTheme="minorEastAsia" w:cstheme="minorEastAsia"/>
                <w:color w:val="auto"/>
                <w:sz w:val="24"/>
                <w:szCs w:val="24"/>
                <w:highlight w:val="none"/>
                <w:lang w:val="en-US" w:eastAsia="zh-CN"/>
              </w:rPr>
              <w:t>www.ccgp.gov.cn</w:t>
            </w:r>
            <w:r>
              <w:rPr>
                <w:rFonts w:hint="eastAsia" w:ascii="宋体" w:hAnsi="宋体" w:cs="宋体"/>
                <w:color w:val="auto"/>
                <w:sz w:val="24"/>
                <w:highlight w:val="none"/>
                <w:lang w:val="en-US" w:eastAsia="zh-CN"/>
              </w:rPr>
              <w:t>）查询内容：政府采购严重违法失信行为记录名单。投标人须提供中国执行信息公开网查询页、信用中国查询页、中国政府采购网查询页的</w:t>
            </w:r>
            <w:r>
              <w:rPr>
                <w:rFonts w:hint="eastAsia" w:ascii="宋体" w:hAnsi="宋体" w:cs="宋体"/>
                <w:b/>
                <w:bCs/>
                <w:color w:val="auto"/>
                <w:sz w:val="24"/>
                <w:highlight w:val="none"/>
                <w:lang w:val="en-US" w:eastAsia="zh-CN"/>
              </w:rPr>
              <w:t>查询结果截图</w:t>
            </w:r>
            <w:r>
              <w:rPr>
                <w:rFonts w:hint="eastAsia" w:ascii="宋体" w:hAnsi="宋体"/>
                <w:color w:val="auto"/>
                <w:sz w:val="24"/>
                <w:szCs w:val="24"/>
                <w:highlight w:val="none"/>
                <w:u w:color="000000"/>
              </w:rPr>
              <w:t>，</w:t>
            </w:r>
            <w:r>
              <w:rPr>
                <w:rFonts w:hint="eastAsia" w:ascii="宋体" w:hAnsi="宋体"/>
                <w:b/>
                <w:bCs/>
                <w:color w:val="auto"/>
                <w:sz w:val="24"/>
                <w:szCs w:val="24"/>
                <w:highlight w:val="none"/>
                <w:u w:color="000000"/>
              </w:rPr>
              <w:t>查询日期为本公告发布之日起，网站截图应含有日期</w:t>
            </w:r>
            <w:r>
              <w:rPr>
                <w:rFonts w:hint="eastAsia" w:ascii="宋体" w:hAnsi="宋体" w:eastAsia="宋体" w:cs="宋体"/>
                <w:b/>
                <w:bCs/>
                <w:color w:val="auto"/>
                <w:sz w:val="24"/>
                <w:szCs w:val="24"/>
                <w:highlight w:val="none"/>
                <w:lang w:val="en-US" w:eastAsia="zh-CN"/>
              </w:rPr>
              <w:t>且显示查询结果</w:t>
            </w:r>
            <w:r>
              <w:rPr>
                <w:rFonts w:hint="eastAsia" w:ascii="宋体" w:hAnsi="宋体" w:cs="宋体"/>
                <w:b/>
                <w:bCs/>
                <w:color w:val="auto"/>
                <w:sz w:val="24"/>
                <w:szCs w:val="24"/>
                <w:highlight w:val="none"/>
                <w:lang w:val="en-US" w:eastAsia="zh-CN"/>
              </w:rPr>
              <w:t>；</w:t>
            </w:r>
          </w:p>
        </w:tc>
      </w:tr>
      <w:tr w14:paraId="0989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842" w:type="dxa"/>
            <w:vMerge w:val="continue"/>
            <w:tcMar>
              <w:left w:w="57" w:type="dxa"/>
              <w:right w:w="57" w:type="dxa"/>
            </w:tcMar>
            <w:vAlign w:val="center"/>
          </w:tcPr>
          <w:p w14:paraId="6C1ED3CF">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5EF4923E">
            <w:pPr>
              <w:snapToGrid w:val="0"/>
              <w:spacing w:line="480" w:lineRule="exact"/>
              <w:jc w:val="center"/>
              <w:rPr>
                <w:rFonts w:hint="eastAsia" w:ascii="宋体" w:hAnsi="宋体" w:eastAsia="宋体" w:cs="宋体"/>
                <w:color w:val="auto"/>
                <w:sz w:val="24"/>
                <w:highlight w:val="none"/>
              </w:rPr>
            </w:pPr>
          </w:p>
        </w:tc>
        <w:tc>
          <w:tcPr>
            <w:tcW w:w="1523" w:type="dxa"/>
            <w:tcMar>
              <w:left w:w="57" w:type="dxa"/>
              <w:right w:w="57" w:type="dxa"/>
            </w:tcMar>
            <w:vAlign w:val="center"/>
          </w:tcPr>
          <w:p w14:paraId="6DDF12F0">
            <w:pPr>
              <w:snapToGrid w:val="0"/>
              <w:spacing w:line="48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非联合体承诺书</w:t>
            </w:r>
          </w:p>
        </w:tc>
        <w:tc>
          <w:tcPr>
            <w:tcW w:w="5936" w:type="dxa"/>
            <w:vAlign w:val="center"/>
          </w:tcPr>
          <w:p w14:paraId="51CED0E8">
            <w:pPr>
              <w:snapToGrid w:val="0"/>
              <w:spacing w:line="480" w:lineRule="exact"/>
              <w:jc w:val="left"/>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本次采购不接受联合体</w:t>
            </w:r>
            <w:r>
              <w:rPr>
                <w:rFonts w:hint="eastAsia" w:ascii="宋体" w:hAnsi="宋体" w:cs="宋体"/>
                <w:b w:val="0"/>
                <w:bCs w:val="0"/>
                <w:color w:val="auto"/>
                <w:sz w:val="24"/>
                <w:highlight w:val="none"/>
                <w:lang w:val="en-US" w:eastAsia="zh-CN"/>
              </w:rPr>
              <w:t>投标</w:t>
            </w:r>
            <w:r>
              <w:rPr>
                <w:rFonts w:hint="eastAsia" w:ascii="宋体" w:hAnsi="宋体" w:eastAsia="宋体" w:cs="宋体"/>
                <w:b w:val="0"/>
                <w:bCs w:val="0"/>
                <w:color w:val="auto"/>
                <w:sz w:val="24"/>
                <w:highlight w:val="none"/>
                <w:lang w:val="en-US" w:eastAsia="zh-CN"/>
              </w:rPr>
              <w:t>，</w:t>
            </w:r>
            <w:r>
              <w:rPr>
                <w:rFonts w:hint="eastAsia" w:ascii="宋体" w:hAnsi="宋体" w:cs="宋体"/>
                <w:b w:val="0"/>
                <w:bCs w:val="0"/>
                <w:color w:val="auto"/>
                <w:sz w:val="24"/>
                <w:highlight w:val="none"/>
                <w:lang w:val="en-US" w:eastAsia="zh-CN"/>
              </w:rPr>
              <w:t>投标人</w:t>
            </w:r>
            <w:r>
              <w:rPr>
                <w:rFonts w:hint="eastAsia" w:ascii="宋体" w:hAnsi="宋体" w:eastAsia="宋体" w:cs="宋体"/>
                <w:b w:val="0"/>
                <w:bCs w:val="0"/>
                <w:color w:val="auto"/>
                <w:sz w:val="24"/>
                <w:highlight w:val="none"/>
                <w:lang w:val="en-US" w:eastAsia="zh-CN"/>
              </w:rPr>
              <w:t>需提供非联合体承诺书（承诺书格式自拟）</w:t>
            </w:r>
            <w:r>
              <w:rPr>
                <w:rFonts w:hint="eastAsia" w:ascii="宋体" w:hAnsi="宋体" w:cs="宋体"/>
                <w:b w:val="0"/>
                <w:bCs w:val="0"/>
                <w:color w:val="auto"/>
                <w:sz w:val="24"/>
                <w:highlight w:val="none"/>
                <w:lang w:val="en-US" w:eastAsia="zh-CN"/>
              </w:rPr>
              <w:t>；</w:t>
            </w:r>
          </w:p>
        </w:tc>
      </w:tr>
      <w:tr w14:paraId="14D8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42" w:type="dxa"/>
            <w:vMerge w:val="restart"/>
            <w:tcMar>
              <w:left w:w="57" w:type="dxa"/>
              <w:right w:w="57" w:type="dxa"/>
            </w:tcMar>
            <w:vAlign w:val="center"/>
          </w:tcPr>
          <w:p w14:paraId="1ED14EE3">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2.1.3</w:t>
            </w:r>
          </w:p>
        </w:tc>
        <w:tc>
          <w:tcPr>
            <w:tcW w:w="1157" w:type="dxa"/>
            <w:vMerge w:val="restart"/>
            <w:tcMar>
              <w:left w:w="57" w:type="dxa"/>
              <w:right w:w="57" w:type="dxa"/>
            </w:tcMar>
            <w:vAlign w:val="center"/>
          </w:tcPr>
          <w:p w14:paraId="695F829E">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响应性评审标准</w:t>
            </w:r>
          </w:p>
        </w:tc>
        <w:tc>
          <w:tcPr>
            <w:tcW w:w="1523" w:type="dxa"/>
            <w:tcMar>
              <w:left w:w="57" w:type="dxa"/>
              <w:right w:w="57" w:type="dxa"/>
            </w:tcMar>
            <w:vAlign w:val="center"/>
          </w:tcPr>
          <w:p w14:paraId="46E5F0A2">
            <w:pPr>
              <w:snapToGrid w:val="0"/>
              <w:spacing w:line="48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投标</w:t>
            </w:r>
            <w:r>
              <w:rPr>
                <w:rFonts w:hint="eastAsia" w:ascii="宋体" w:hAnsi="宋体" w:eastAsia="宋体" w:cs="宋体"/>
                <w:color w:val="auto"/>
                <w:sz w:val="24"/>
                <w:highlight w:val="none"/>
                <w:lang w:val="en-US" w:eastAsia="zh-CN"/>
              </w:rPr>
              <w:t>内容</w:t>
            </w:r>
          </w:p>
        </w:tc>
        <w:tc>
          <w:tcPr>
            <w:tcW w:w="5936" w:type="dxa"/>
            <w:vAlign w:val="center"/>
          </w:tcPr>
          <w:p w14:paraId="174D8789">
            <w:pPr>
              <w:snapToGrid w:val="0"/>
              <w:spacing w:line="48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符合第二章“投标人须知”第</w:t>
            </w:r>
            <w:r>
              <w:rPr>
                <w:rFonts w:hint="eastAsia" w:ascii="宋体" w:hAnsi="宋体" w:eastAsia="宋体" w:cs="宋体"/>
                <w:color w:val="auto"/>
                <w:sz w:val="24"/>
                <w:highlight w:val="none"/>
                <w:lang w:val="en-US" w:eastAsia="zh-CN"/>
              </w:rPr>
              <w:t>1.1.6</w:t>
            </w:r>
            <w:r>
              <w:rPr>
                <w:rFonts w:hint="eastAsia" w:ascii="宋体" w:hAnsi="宋体" w:eastAsia="宋体" w:cs="宋体"/>
                <w:color w:val="auto"/>
                <w:sz w:val="24"/>
                <w:highlight w:val="none"/>
              </w:rPr>
              <w:t>项规定</w:t>
            </w:r>
            <w:r>
              <w:rPr>
                <w:rFonts w:hint="eastAsia" w:ascii="宋体" w:hAnsi="宋体" w:cs="宋体"/>
                <w:color w:val="auto"/>
                <w:sz w:val="24"/>
                <w:highlight w:val="none"/>
                <w:lang w:eastAsia="zh-CN"/>
              </w:rPr>
              <w:t>。</w:t>
            </w:r>
          </w:p>
        </w:tc>
      </w:tr>
      <w:tr w14:paraId="2931D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42" w:type="dxa"/>
            <w:vMerge w:val="continue"/>
            <w:tcMar>
              <w:left w:w="57" w:type="dxa"/>
              <w:right w:w="57" w:type="dxa"/>
            </w:tcMar>
            <w:vAlign w:val="center"/>
          </w:tcPr>
          <w:p w14:paraId="1A4524CB">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57E62ACC">
            <w:pPr>
              <w:snapToGrid w:val="0"/>
              <w:spacing w:line="480" w:lineRule="exact"/>
              <w:jc w:val="center"/>
              <w:rPr>
                <w:rFonts w:hint="eastAsia" w:ascii="宋体" w:hAnsi="宋体" w:eastAsia="宋体" w:cs="宋体"/>
                <w:color w:val="auto"/>
                <w:sz w:val="24"/>
                <w:highlight w:val="none"/>
              </w:rPr>
            </w:pPr>
          </w:p>
        </w:tc>
        <w:tc>
          <w:tcPr>
            <w:tcW w:w="1523" w:type="dxa"/>
            <w:tcMar>
              <w:left w:w="57" w:type="dxa"/>
              <w:right w:w="57" w:type="dxa"/>
            </w:tcMar>
            <w:vAlign w:val="center"/>
          </w:tcPr>
          <w:p w14:paraId="3C05119F">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tc>
        <w:tc>
          <w:tcPr>
            <w:tcW w:w="5936" w:type="dxa"/>
            <w:vAlign w:val="center"/>
          </w:tcPr>
          <w:p w14:paraId="03BC0292">
            <w:pPr>
              <w:snapToGrid w:val="0"/>
              <w:spacing w:line="48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不得高于</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公布的</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控制价，否则其投标将被否决。</w:t>
            </w:r>
          </w:p>
        </w:tc>
      </w:tr>
      <w:tr w14:paraId="65CB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2" w:type="dxa"/>
            <w:vMerge w:val="continue"/>
            <w:tcMar>
              <w:left w:w="57" w:type="dxa"/>
              <w:right w:w="57" w:type="dxa"/>
            </w:tcMar>
            <w:vAlign w:val="center"/>
          </w:tcPr>
          <w:p w14:paraId="78319C7E">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3F166FBD">
            <w:pPr>
              <w:snapToGrid w:val="0"/>
              <w:spacing w:line="480" w:lineRule="exact"/>
              <w:jc w:val="center"/>
              <w:rPr>
                <w:rFonts w:hint="eastAsia" w:ascii="宋体" w:hAnsi="宋体" w:eastAsia="宋体" w:cs="宋体"/>
                <w:color w:val="auto"/>
                <w:sz w:val="24"/>
                <w:highlight w:val="none"/>
              </w:rPr>
            </w:pPr>
          </w:p>
        </w:tc>
        <w:tc>
          <w:tcPr>
            <w:tcW w:w="1523" w:type="dxa"/>
            <w:tcMar>
              <w:left w:w="57" w:type="dxa"/>
              <w:right w:w="57" w:type="dxa"/>
            </w:tcMar>
            <w:vAlign w:val="center"/>
          </w:tcPr>
          <w:p w14:paraId="6B970B10">
            <w:pPr>
              <w:snapToGrid w:val="0"/>
              <w:spacing w:line="48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服务期</w:t>
            </w:r>
          </w:p>
        </w:tc>
        <w:tc>
          <w:tcPr>
            <w:tcW w:w="5936" w:type="dxa"/>
            <w:vAlign w:val="center"/>
          </w:tcPr>
          <w:p w14:paraId="49FC08F1">
            <w:pP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三年</w:t>
            </w:r>
            <w:r>
              <w:rPr>
                <w:rFonts w:hint="eastAsia" w:ascii="宋体" w:hAnsi="宋体" w:eastAsia="宋体" w:cs="宋体"/>
                <w:color w:val="auto"/>
                <w:sz w:val="24"/>
                <w:highlight w:val="none"/>
                <w:lang w:eastAsia="zh-CN"/>
              </w:rPr>
              <w:t>。</w:t>
            </w:r>
          </w:p>
        </w:tc>
      </w:tr>
      <w:tr w14:paraId="75CA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42" w:type="dxa"/>
            <w:vMerge w:val="continue"/>
            <w:tcMar>
              <w:left w:w="57" w:type="dxa"/>
              <w:right w:w="57" w:type="dxa"/>
            </w:tcMar>
            <w:vAlign w:val="center"/>
          </w:tcPr>
          <w:p w14:paraId="69CEE808">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5AFABFF9">
            <w:pPr>
              <w:snapToGrid w:val="0"/>
              <w:spacing w:line="480" w:lineRule="exact"/>
              <w:jc w:val="center"/>
              <w:rPr>
                <w:rFonts w:hint="eastAsia" w:ascii="宋体" w:hAnsi="宋体" w:eastAsia="宋体" w:cs="宋体"/>
                <w:color w:val="auto"/>
                <w:sz w:val="24"/>
                <w:highlight w:val="none"/>
              </w:rPr>
            </w:pPr>
          </w:p>
        </w:tc>
        <w:tc>
          <w:tcPr>
            <w:tcW w:w="1523" w:type="dxa"/>
            <w:tcMar>
              <w:left w:w="57" w:type="dxa"/>
              <w:right w:w="57" w:type="dxa"/>
            </w:tcMar>
            <w:vAlign w:val="center"/>
          </w:tcPr>
          <w:p w14:paraId="253FF133">
            <w:pPr>
              <w:snapToGrid w:val="0"/>
              <w:spacing w:line="48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服务标准</w:t>
            </w:r>
          </w:p>
        </w:tc>
        <w:tc>
          <w:tcPr>
            <w:tcW w:w="5936" w:type="dxa"/>
            <w:vAlign w:val="center"/>
          </w:tcPr>
          <w:p w14:paraId="69ABEFF5">
            <w:pPr>
              <w:snapToGrid w:val="0"/>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符合国家或行业规定的合格标准，满足采购人要求。</w:t>
            </w:r>
          </w:p>
        </w:tc>
      </w:tr>
      <w:tr w14:paraId="1126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42" w:type="dxa"/>
            <w:vMerge w:val="continue"/>
            <w:tcMar>
              <w:left w:w="57" w:type="dxa"/>
              <w:right w:w="57" w:type="dxa"/>
            </w:tcMar>
            <w:vAlign w:val="center"/>
          </w:tcPr>
          <w:p w14:paraId="12B5DA38">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7105D3E3">
            <w:pPr>
              <w:snapToGrid w:val="0"/>
              <w:spacing w:line="480" w:lineRule="exact"/>
              <w:jc w:val="center"/>
              <w:rPr>
                <w:rFonts w:hint="eastAsia" w:ascii="宋体" w:hAnsi="宋体" w:eastAsia="宋体" w:cs="宋体"/>
                <w:color w:val="auto"/>
                <w:sz w:val="24"/>
                <w:highlight w:val="none"/>
              </w:rPr>
            </w:pPr>
          </w:p>
        </w:tc>
        <w:tc>
          <w:tcPr>
            <w:tcW w:w="1523" w:type="dxa"/>
            <w:tcMar>
              <w:left w:w="57" w:type="dxa"/>
              <w:right w:w="57" w:type="dxa"/>
            </w:tcMar>
            <w:vAlign w:val="center"/>
          </w:tcPr>
          <w:p w14:paraId="05F8DA38">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5936" w:type="dxa"/>
            <w:vAlign w:val="center"/>
          </w:tcPr>
          <w:p w14:paraId="34340F9F">
            <w:pPr>
              <w:snapToGrid w:val="0"/>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60</w:t>
            </w:r>
            <w:r>
              <w:rPr>
                <w:rFonts w:hint="eastAsia" w:ascii="宋体" w:hAnsi="宋体" w:eastAsia="宋体" w:cs="宋体"/>
                <w:color w:val="auto"/>
                <w:sz w:val="24"/>
                <w:highlight w:val="none"/>
              </w:rPr>
              <w:t>日历天（从投标截止之日算起）</w:t>
            </w:r>
            <w:r>
              <w:rPr>
                <w:rFonts w:hint="eastAsia" w:ascii="宋体" w:hAnsi="宋体" w:cs="宋体"/>
                <w:color w:val="auto"/>
                <w:sz w:val="24"/>
                <w:highlight w:val="none"/>
                <w:lang w:eastAsia="zh-CN"/>
              </w:rPr>
              <w:t>。</w:t>
            </w:r>
          </w:p>
        </w:tc>
      </w:tr>
      <w:tr w14:paraId="11D1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42" w:type="dxa"/>
            <w:vMerge w:val="continue"/>
            <w:tcMar>
              <w:left w:w="57" w:type="dxa"/>
              <w:right w:w="57" w:type="dxa"/>
            </w:tcMar>
            <w:vAlign w:val="center"/>
          </w:tcPr>
          <w:p w14:paraId="2FF0D9B1">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6E77ECB8">
            <w:pPr>
              <w:snapToGrid w:val="0"/>
              <w:spacing w:line="480" w:lineRule="exact"/>
              <w:jc w:val="center"/>
              <w:rPr>
                <w:rFonts w:hint="eastAsia" w:ascii="宋体" w:hAnsi="宋体" w:eastAsia="宋体" w:cs="宋体"/>
                <w:color w:val="auto"/>
                <w:sz w:val="24"/>
                <w:highlight w:val="none"/>
              </w:rPr>
            </w:pPr>
          </w:p>
        </w:tc>
        <w:tc>
          <w:tcPr>
            <w:tcW w:w="1523" w:type="dxa"/>
            <w:tcMar>
              <w:left w:w="57" w:type="dxa"/>
              <w:right w:w="57" w:type="dxa"/>
            </w:tcMar>
            <w:vAlign w:val="center"/>
          </w:tcPr>
          <w:p w14:paraId="35C0AA74">
            <w:pPr>
              <w:snapToGrid w:val="0"/>
              <w:spacing w:line="48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服务要求</w:t>
            </w:r>
          </w:p>
        </w:tc>
        <w:tc>
          <w:tcPr>
            <w:tcW w:w="5936" w:type="dxa"/>
            <w:vAlign w:val="center"/>
          </w:tcPr>
          <w:p w14:paraId="31EF42A8">
            <w:pPr>
              <w:snapToGrid w:val="0"/>
              <w:spacing w:line="48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符合第五章“服务内容及要求”中的实质性要求和条件</w:t>
            </w:r>
            <w:r>
              <w:rPr>
                <w:rFonts w:hint="eastAsia" w:ascii="宋体" w:hAnsi="宋体" w:cs="宋体"/>
                <w:color w:val="auto"/>
                <w:sz w:val="24"/>
                <w:highlight w:val="none"/>
                <w:lang w:eastAsia="zh-CN"/>
              </w:rPr>
              <w:t>。</w:t>
            </w:r>
          </w:p>
        </w:tc>
      </w:tr>
      <w:tr w14:paraId="31B3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42" w:type="dxa"/>
            <w:vMerge w:val="continue"/>
            <w:tcMar>
              <w:left w:w="57" w:type="dxa"/>
              <w:right w:w="57" w:type="dxa"/>
            </w:tcMar>
            <w:vAlign w:val="center"/>
          </w:tcPr>
          <w:p w14:paraId="656C8AFF">
            <w:pPr>
              <w:snapToGrid w:val="0"/>
              <w:spacing w:line="480" w:lineRule="exact"/>
              <w:jc w:val="center"/>
              <w:rPr>
                <w:rFonts w:hint="eastAsia" w:ascii="宋体" w:hAnsi="宋体" w:eastAsia="宋体" w:cs="宋体"/>
                <w:color w:val="auto"/>
                <w:sz w:val="24"/>
                <w:highlight w:val="none"/>
              </w:rPr>
            </w:pPr>
          </w:p>
        </w:tc>
        <w:tc>
          <w:tcPr>
            <w:tcW w:w="1157" w:type="dxa"/>
            <w:vMerge w:val="continue"/>
            <w:tcMar>
              <w:left w:w="57" w:type="dxa"/>
              <w:right w:w="57" w:type="dxa"/>
            </w:tcMar>
            <w:vAlign w:val="center"/>
          </w:tcPr>
          <w:p w14:paraId="53B1002D">
            <w:pPr>
              <w:snapToGrid w:val="0"/>
              <w:spacing w:line="480" w:lineRule="exact"/>
              <w:jc w:val="center"/>
              <w:rPr>
                <w:rFonts w:hint="eastAsia" w:ascii="宋体" w:hAnsi="宋体" w:eastAsia="宋体" w:cs="宋体"/>
                <w:color w:val="auto"/>
                <w:sz w:val="24"/>
                <w:highlight w:val="none"/>
              </w:rPr>
            </w:pPr>
          </w:p>
        </w:tc>
        <w:tc>
          <w:tcPr>
            <w:tcW w:w="1523" w:type="dxa"/>
            <w:tcMar>
              <w:left w:w="57" w:type="dxa"/>
              <w:right w:w="57" w:type="dxa"/>
            </w:tcMar>
            <w:vAlign w:val="center"/>
          </w:tcPr>
          <w:p w14:paraId="35B050EA">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w:t>
            </w:r>
          </w:p>
        </w:tc>
        <w:tc>
          <w:tcPr>
            <w:tcW w:w="5936" w:type="dxa"/>
            <w:vAlign w:val="center"/>
          </w:tcPr>
          <w:p w14:paraId="39321A0B">
            <w:pPr>
              <w:snapToGrid w:val="0"/>
              <w:spacing w:line="48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符合第二章“投标人须知”第3.4.1项规定</w:t>
            </w:r>
            <w:r>
              <w:rPr>
                <w:rFonts w:hint="eastAsia" w:ascii="宋体" w:hAnsi="宋体" w:cs="宋体"/>
                <w:color w:val="auto"/>
                <w:sz w:val="24"/>
                <w:highlight w:val="none"/>
                <w:lang w:eastAsia="zh-CN"/>
              </w:rPr>
              <w:t>。</w:t>
            </w:r>
          </w:p>
        </w:tc>
      </w:tr>
      <w:tr w14:paraId="6334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99" w:type="dxa"/>
            <w:gridSpan w:val="2"/>
            <w:tcMar>
              <w:left w:w="57" w:type="dxa"/>
              <w:right w:w="57" w:type="dxa"/>
            </w:tcMar>
            <w:vAlign w:val="center"/>
          </w:tcPr>
          <w:p w14:paraId="614552DE">
            <w:pPr>
              <w:pStyle w:val="39"/>
              <w:tabs>
                <w:tab w:val="right" w:pos="2948"/>
              </w:tabs>
              <w:spacing w:before="0" w:beforeAutospacing="0" w:after="0" w:afterAutospacing="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条款号</w:t>
            </w:r>
          </w:p>
        </w:tc>
        <w:tc>
          <w:tcPr>
            <w:tcW w:w="1523" w:type="dxa"/>
            <w:tcMar>
              <w:left w:w="57" w:type="dxa"/>
              <w:right w:w="57" w:type="dxa"/>
            </w:tcMar>
            <w:vAlign w:val="center"/>
          </w:tcPr>
          <w:p w14:paraId="1332BB7D">
            <w:pPr>
              <w:pStyle w:val="39"/>
              <w:spacing w:before="0" w:beforeAutospacing="0" w:after="0" w:afterAutospacing="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条款内容</w:t>
            </w:r>
          </w:p>
        </w:tc>
        <w:tc>
          <w:tcPr>
            <w:tcW w:w="5936" w:type="dxa"/>
            <w:tcMar>
              <w:left w:w="57" w:type="dxa"/>
              <w:right w:w="57" w:type="dxa"/>
            </w:tcMar>
            <w:vAlign w:val="center"/>
          </w:tcPr>
          <w:p w14:paraId="54E3DDFF">
            <w:pPr>
              <w:pStyle w:val="39"/>
              <w:spacing w:before="0" w:beforeAutospacing="0" w:after="0" w:afterAutospacing="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编列内容</w:t>
            </w:r>
          </w:p>
        </w:tc>
      </w:tr>
      <w:tr w14:paraId="2B29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99" w:type="dxa"/>
            <w:gridSpan w:val="2"/>
            <w:tcMar>
              <w:left w:w="57" w:type="dxa"/>
              <w:right w:w="57" w:type="dxa"/>
            </w:tcMar>
            <w:vAlign w:val="center"/>
          </w:tcPr>
          <w:p w14:paraId="4DB14AA4">
            <w:pPr>
              <w:pStyle w:val="39"/>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2.2.1</w:t>
            </w:r>
          </w:p>
        </w:tc>
        <w:tc>
          <w:tcPr>
            <w:tcW w:w="1523" w:type="dxa"/>
            <w:tcMar>
              <w:left w:w="57" w:type="dxa"/>
              <w:right w:w="57" w:type="dxa"/>
            </w:tcMar>
            <w:vAlign w:val="center"/>
          </w:tcPr>
          <w:p w14:paraId="46500248">
            <w:pPr>
              <w:pStyle w:val="39"/>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分值构成</w:t>
            </w:r>
          </w:p>
          <w:p w14:paraId="51D3222E">
            <w:pPr>
              <w:pStyle w:val="39"/>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（总分100分）</w:t>
            </w:r>
          </w:p>
        </w:tc>
        <w:tc>
          <w:tcPr>
            <w:tcW w:w="5936" w:type="dxa"/>
            <w:tcMar>
              <w:left w:w="57" w:type="dxa"/>
              <w:right w:w="57" w:type="dxa"/>
            </w:tcMar>
            <w:vAlign w:val="center"/>
          </w:tcPr>
          <w:p w14:paraId="7DF2698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421E36D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技术评分标准：</w:t>
            </w:r>
            <w:r>
              <w:rPr>
                <w:rFonts w:hint="eastAsia" w:ascii="宋体" w:hAnsi="宋体" w:cs="宋体"/>
                <w:color w:val="auto"/>
                <w:sz w:val="24"/>
                <w:highlight w:val="none"/>
                <w:lang w:val="en-US" w:eastAsia="zh-CN"/>
              </w:rPr>
              <w:t>50</w:t>
            </w:r>
            <w:r>
              <w:rPr>
                <w:rFonts w:hint="eastAsia" w:ascii="宋体" w:hAnsi="宋体" w:eastAsia="宋体" w:cs="宋体"/>
                <w:color w:val="auto"/>
                <w:sz w:val="24"/>
                <w:highlight w:val="none"/>
              </w:rPr>
              <w:t>分</w:t>
            </w:r>
          </w:p>
          <w:p w14:paraId="47C931C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综合评分标准：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tc>
      </w:tr>
      <w:tr w14:paraId="2426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999" w:type="dxa"/>
            <w:gridSpan w:val="2"/>
            <w:tcMar>
              <w:left w:w="57" w:type="dxa"/>
              <w:right w:w="57" w:type="dxa"/>
            </w:tcMar>
            <w:vAlign w:val="center"/>
          </w:tcPr>
          <w:p w14:paraId="1AA6441A">
            <w:pPr>
              <w:snapToGrid w:val="0"/>
              <w:spacing w:line="480" w:lineRule="exact"/>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条款号</w:t>
            </w:r>
          </w:p>
        </w:tc>
        <w:tc>
          <w:tcPr>
            <w:tcW w:w="1523" w:type="dxa"/>
            <w:tcMar>
              <w:left w:w="57" w:type="dxa"/>
              <w:right w:w="57" w:type="dxa"/>
            </w:tcMar>
            <w:vAlign w:val="center"/>
          </w:tcPr>
          <w:p w14:paraId="3E0F45A0">
            <w:pPr>
              <w:snapToGrid w:val="0"/>
              <w:spacing w:line="480" w:lineRule="exact"/>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评分因素</w:t>
            </w:r>
          </w:p>
        </w:tc>
        <w:tc>
          <w:tcPr>
            <w:tcW w:w="5936" w:type="dxa"/>
            <w:tcMar>
              <w:left w:w="57" w:type="dxa"/>
              <w:right w:w="57" w:type="dxa"/>
            </w:tcMar>
            <w:vAlign w:val="center"/>
          </w:tcPr>
          <w:p w14:paraId="45E00333">
            <w:pPr>
              <w:snapToGrid w:val="0"/>
              <w:spacing w:line="480" w:lineRule="exact"/>
              <w:jc w:val="center"/>
              <w:rPr>
                <w:rFonts w:hint="eastAsia" w:ascii="宋体" w:hAnsi="宋体" w:eastAsia="宋体" w:cs="宋体"/>
                <w:color w:val="auto"/>
                <w:highlight w:val="none"/>
              </w:rPr>
            </w:pPr>
            <w:r>
              <w:rPr>
                <w:rFonts w:hint="eastAsia" w:ascii="宋体" w:hAnsi="宋体" w:eastAsia="宋体" w:cs="宋体"/>
                <w:b/>
                <w:color w:val="auto"/>
                <w:sz w:val="24"/>
                <w:highlight w:val="none"/>
              </w:rPr>
              <w:t>评分标准</w:t>
            </w:r>
          </w:p>
        </w:tc>
      </w:tr>
      <w:tr w14:paraId="5BF8A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842" w:type="dxa"/>
            <w:tcMar>
              <w:left w:w="57" w:type="dxa"/>
              <w:right w:w="57" w:type="dxa"/>
            </w:tcMar>
            <w:vAlign w:val="center"/>
          </w:tcPr>
          <w:p w14:paraId="0861F780">
            <w:pPr>
              <w:pStyle w:val="39"/>
              <w:spacing w:before="0" w:beforeAutospacing="0" w:after="0" w:afterAutospacing="0" w:line="360" w:lineRule="auto"/>
              <w:jc w:val="center"/>
              <w:rPr>
                <w:rFonts w:hint="default" w:ascii="宋体" w:hAnsi="宋体" w:eastAsia="宋体" w:cs="宋体"/>
                <w:color w:val="auto"/>
                <w:highlight w:val="none"/>
                <w:lang w:val="en-US" w:eastAsia="zh-CN"/>
              </w:rPr>
            </w:pPr>
            <w:r>
              <w:rPr>
                <w:rFonts w:hint="eastAsia" w:cs="宋体"/>
                <w:color w:val="auto"/>
                <w:highlight w:val="none"/>
                <w:lang w:val="en-US" w:eastAsia="zh-CN"/>
              </w:rPr>
              <w:t>2.2.2（1）</w:t>
            </w:r>
          </w:p>
        </w:tc>
        <w:tc>
          <w:tcPr>
            <w:tcW w:w="1157" w:type="dxa"/>
            <w:tcMar>
              <w:left w:w="57" w:type="dxa"/>
              <w:right w:w="57" w:type="dxa"/>
            </w:tcMar>
            <w:vAlign w:val="center"/>
          </w:tcPr>
          <w:p w14:paraId="799B32E7">
            <w:pPr>
              <w:snapToGrid w:val="0"/>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tc>
        <w:tc>
          <w:tcPr>
            <w:tcW w:w="7459" w:type="dxa"/>
            <w:gridSpan w:val="2"/>
            <w:tcMar>
              <w:left w:w="57" w:type="dxa"/>
              <w:right w:w="57" w:type="dxa"/>
            </w:tcMar>
            <w:vAlign w:val="center"/>
          </w:tcPr>
          <w:p w14:paraId="72968122">
            <w:pPr>
              <w:numPr>
                <w:ilvl w:val="0"/>
                <w:numId w:val="0"/>
              </w:numPr>
              <w:spacing w:line="480" w:lineRule="atLeast"/>
              <w:rPr>
                <w:rFonts w:hint="default"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报价得分=（评标基准价/投标报价）×20</w:t>
            </w:r>
          </w:p>
          <w:p w14:paraId="6F9E91FA">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评标基准价：满足招标文件要求经评审报价最低为评标基准价，其价格分为满分；</w:t>
            </w:r>
          </w:p>
          <w:p w14:paraId="2A52A10B">
            <w:pPr>
              <w:numPr>
                <w:ilvl w:val="0"/>
                <w:numId w:val="0"/>
              </w:numPr>
              <w:spacing w:line="480" w:lineRule="atLeast"/>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注：1.计算结果按四舍五入法则，保留小数点后两位；</w:t>
            </w:r>
          </w:p>
          <w:p w14:paraId="17D1B674">
            <w:pPr>
              <w:numPr>
                <w:ilvl w:val="0"/>
                <w:numId w:val="0"/>
              </w:numPr>
              <w:spacing w:line="480" w:lineRule="atLeast"/>
              <w:rPr>
                <w:rFonts w:hint="eastAsia" w:ascii="宋体" w:hAnsi="宋体" w:eastAsia="宋体" w:cs="宋体"/>
                <w:b/>
                <w:bCs/>
                <w:color w:val="auto"/>
                <w:spacing w:val="-5"/>
                <w:sz w:val="23"/>
                <w:szCs w:val="23"/>
                <w:highlight w:val="none"/>
              </w:rPr>
            </w:pPr>
            <w:r>
              <w:rPr>
                <w:rFonts w:hint="eastAsia" w:ascii="宋体" w:hAnsi="宋体" w:cs="宋体"/>
                <w:b/>
                <w:bCs/>
                <w:color w:val="auto"/>
                <w:sz w:val="24"/>
                <w:highlight w:val="none"/>
                <w:lang w:val="en-US" w:eastAsia="zh-CN"/>
              </w:rPr>
              <w:t>注：</w:t>
            </w:r>
            <w:r>
              <w:rPr>
                <w:rFonts w:hint="eastAsia" w:ascii="宋体" w:hAnsi="宋体" w:eastAsia="宋体" w:cs="宋体"/>
                <w:b/>
                <w:bCs/>
                <w:color w:val="auto"/>
                <w:spacing w:val="-5"/>
                <w:sz w:val="23"/>
                <w:szCs w:val="23"/>
                <w:highlight w:val="none"/>
              </w:rPr>
              <w:t>1.</w:t>
            </w:r>
            <w:r>
              <w:rPr>
                <w:rFonts w:hint="eastAsia" w:ascii="宋体" w:hAnsi="宋体" w:eastAsia="宋体" w:cs="宋体"/>
                <w:b/>
                <w:bCs/>
                <w:color w:val="auto"/>
                <w:spacing w:val="-5"/>
                <w:sz w:val="23"/>
                <w:szCs w:val="23"/>
                <w:highlight w:val="none"/>
                <w:lang w:val="en-US" w:eastAsia="zh-CN"/>
              </w:rPr>
              <w:t>根据《三门峡市 2023 年政府采购领域优化营商环境工作实施方案的通知》三财办【2023】4 号、《三门峡市财政局关于进一步加大政府采购支持中小企业发 展有关事项的通知》三财购【2022】9 号</w:t>
            </w:r>
            <w:r>
              <w:rPr>
                <w:rFonts w:hint="eastAsia" w:ascii="宋体" w:hAnsi="宋体" w:eastAsia="宋体" w:cs="宋体"/>
                <w:b/>
                <w:bCs/>
                <w:color w:val="auto"/>
                <w:spacing w:val="-5"/>
                <w:sz w:val="23"/>
                <w:szCs w:val="23"/>
                <w:highlight w:val="none"/>
              </w:rPr>
              <w:t>，对小型、微型企业产品的价格给予20%的扣除，本项目小型、微型企业按</w:t>
            </w:r>
            <w:r>
              <w:rPr>
                <w:rFonts w:hint="eastAsia" w:ascii="宋体" w:hAnsi="宋体" w:cs="宋体"/>
                <w:b/>
                <w:bCs/>
                <w:color w:val="auto"/>
                <w:spacing w:val="-5"/>
                <w:sz w:val="23"/>
                <w:szCs w:val="23"/>
                <w:highlight w:val="none"/>
                <w:lang w:val="en-US" w:eastAsia="zh-CN"/>
              </w:rPr>
              <w:t>20</w:t>
            </w:r>
            <w:r>
              <w:rPr>
                <w:rFonts w:hint="eastAsia" w:ascii="宋体" w:hAnsi="宋体" w:eastAsia="宋体" w:cs="宋体"/>
                <w:b/>
                <w:bCs/>
                <w:color w:val="auto"/>
                <w:spacing w:val="-5"/>
                <w:sz w:val="23"/>
                <w:szCs w:val="23"/>
                <w:highlight w:val="none"/>
              </w:rPr>
              <w:t>%扣除。对于中型企业产品的价格不予扣除。</w:t>
            </w:r>
          </w:p>
          <w:p w14:paraId="44A47114">
            <w:pPr>
              <w:numPr>
                <w:ilvl w:val="0"/>
                <w:numId w:val="0"/>
              </w:numPr>
              <w:spacing w:line="480" w:lineRule="atLeast"/>
              <w:rPr>
                <w:rFonts w:hint="eastAsia" w:ascii="宋体" w:hAnsi="宋体" w:eastAsia="宋体" w:cs="宋体"/>
                <w:b/>
                <w:bCs/>
                <w:color w:val="auto"/>
                <w:spacing w:val="-5"/>
                <w:sz w:val="23"/>
                <w:szCs w:val="23"/>
                <w:highlight w:val="none"/>
              </w:rPr>
            </w:pPr>
            <w:r>
              <w:rPr>
                <w:rFonts w:hint="eastAsia" w:ascii="宋体" w:hAnsi="宋体" w:eastAsia="宋体" w:cs="宋体"/>
                <w:b/>
                <w:bCs/>
                <w:color w:val="auto"/>
                <w:spacing w:val="-5"/>
                <w:sz w:val="23"/>
                <w:szCs w:val="23"/>
                <w:highlight w:val="none"/>
              </w:rPr>
              <w:t>所投小微企业产品报价=所投小微企业产品报价×（1-</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w:t>
            </w:r>
          </w:p>
          <w:p w14:paraId="1F7045DF">
            <w:pPr>
              <w:numPr>
                <w:ilvl w:val="0"/>
                <w:numId w:val="0"/>
              </w:numPr>
              <w:spacing w:line="480" w:lineRule="atLeast"/>
              <w:rPr>
                <w:rFonts w:hint="eastAsia" w:ascii="宋体" w:hAnsi="宋体" w:eastAsia="宋体" w:cs="宋体"/>
                <w:b/>
                <w:bCs/>
                <w:color w:val="auto"/>
                <w:spacing w:val="-5"/>
                <w:sz w:val="23"/>
                <w:szCs w:val="23"/>
                <w:highlight w:val="none"/>
              </w:rPr>
            </w:pPr>
            <w:r>
              <w:rPr>
                <w:rFonts w:hint="eastAsia" w:ascii="宋体" w:hAnsi="宋体" w:eastAsia="宋体" w:cs="宋体"/>
                <w:b/>
                <w:bCs/>
                <w:color w:val="auto"/>
                <w:spacing w:val="-5"/>
                <w:sz w:val="23"/>
                <w:szCs w:val="23"/>
                <w:highlight w:val="none"/>
              </w:rPr>
              <w:t>2.根据财政部司法部《关于政府采购支持监狱企业发展有关问题的通知》（财库〔2014〕68号）规定，对于监狱企业视同为小型、微型企业，价格给予</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%的扣除。</w:t>
            </w:r>
          </w:p>
          <w:p w14:paraId="3FD6594D">
            <w:pPr>
              <w:numPr>
                <w:ilvl w:val="0"/>
                <w:numId w:val="0"/>
              </w:numPr>
              <w:spacing w:line="480" w:lineRule="atLeast"/>
              <w:rPr>
                <w:rFonts w:hint="eastAsia" w:ascii="宋体" w:hAnsi="宋体" w:eastAsia="宋体" w:cs="宋体"/>
                <w:b/>
                <w:bCs/>
                <w:color w:val="auto"/>
                <w:spacing w:val="-5"/>
                <w:sz w:val="23"/>
                <w:szCs w:val="23"/>
                <w:highlight w:val="none"/>
              </w:rPr>
            </w:pPr>
            <w:r>
              <w:rPr>
                <w:rFonts w:hint="eastAsia" w:ascii="宋体" w:hAnsi="宋体" w:eastAsia="宋体" w:cs="宋体"/>
                <w:b/>
                <w:bCs/>
                <w:color w:val="auto"/>
                <w:spacing w:val="-5"/>
                <w:sz w:val="23"/>
                <w:szCs w:val="23"/>
                <w:highlight w:val="none"/>
              </w:rPr>
              <w:t>所投监狱企业产品报价=所投监狱企业产品报价×（1-</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w:t>
            </w:r>
          </w:p>
          <w:p w14:paraId="7DF61D7E">
            <w:pPr>
              <w:numPr>
                <w:ilvl w:val="0"/>
                <w:numId w:val="0"/>
              </w:numPr>
              <w:spacing w:line="480" w:lineRule="atLeast"/>
              <w:rPr>
                <w:rFonts w:ascii="宋体" w:hAnsi="宋体" w:eastAsia="宋体" w:cs="宋体"/>
                <w:b/>
                <w:bCs/>
                <w:color w:val="auto"/>
                <w:spacing w:val="-5"/>
                <w:sz w:val="23"/>
                <w:szCs w:val="23"/>
                <w:highlight w:val="none"/>
              </w:rPr>
            </w:pPr>
            <w:r>
              <w:rPr>
                <w:rFonts w:hint="eastAsia" w:ascii="宋体" w:hAnsi="宋体" w:eastAsia="宋体" w:cs="宋体"/>
                <w:b/>
                <w:bCs/>
                <w:color w:val="auto"/>
                <w:spacing w:val="-5"/>
                <w:sz w:val="23"/>
                <w:szCs w:val="23"/>
                <w:highlight w:val="none"/>
                <w:lang w:val="en-US" w:eastAsia="zh-CN"/>
              </w:rPr>
              <w:t>3.</w:t>
            </w:r>
            <w:r>
              <w:rPr>
                <w:rFonts w:hint="eastAsia" w:ascii="宋体" w:hAnsi="宋体" w:eastAsia="宋体" w:cs="宋体"/>
                <w:b/>
                <w:bCs/>
                <w:color w:val="auto"/>
                <w:spacing w:val="-5"/>
                <w:sz w:val="23"/>
                <w:szCs w:val="23"/>
                <w:highlight w:val="none"/>
              </w:rPr>
              <w:t>根据财政部民政部中国残疾人联合会《关于促进残疾人就业政府采购政策的通知》（财库〔2017〕141号）规定，对于</w:t>
            </w:r>
            <w:r>
              <w:rPr>
                <w:rFonts w:ascii="宋体" w:hAnsi="宋体" w:eastAsia="宋体" w:cs="宋体"/>
                <w:b/>
                <w:bCs/>
                <w:color w:val="auto"/>
                <w:spacing w:val="-5"/>
                <w:sz w:val="23"/>
                <w:szCs w:val="23"/>
                <w:highlight w:val="none"/>
              </w:rPr>
              <w:t>残疾人福利性单位视同</w:t>
            </w:r>
            <w:r>
              <w:rPr>
                <w:rFonts w:hint="eastAsia" w:ascii="宋体" w:hAnsi="宋体" w:eastAsia="宋体" w:cs="宋体"/>
                <w:b/>
                <w:bCs/>
                <w:color w:val="auto"/>
                <w:spacing w:val="-5"/>
                <w:sz w:val="23"/>
                <w:szCs w:val="23"/>
                <w:highlight w:val="none"/>
              </w:rPr>
              <w:t>为</w:t>
            </w:r>
            <w:r>
              <w:rPr>
                <w:rFonts w:ascii="宋体" w:hAnsi="宋体" w:eastAsia="宋体" w:cs="宋体"/>
                <w:b/>
                <w:bCs/>
                <w:color w:val="auto"/>
                <w:spacing w:val="-5"/>
                <w:sz w:val="23"/>
                <w:szCs w:val="23"/>
                <w:highlight w:val="none"/>
              </w:rPr>
              <w:t>小型、微型企业，</w:t>
            </w:r>
            <w:r>
              <w:rPr>
                <w:rFonts w:hint="eastAsia" w:ascii="宋体" w:hAnsi="宋体" w:eastAsia="宋体" w:cs="宋体"/>
                <w:b/>
                <w:bCs/>
                <w:color w:val="auto"/>
                <w:spacing w:val="-5"/>
                <w:sz w:val="23"/>
                <w:szCs w:val="23"/>
                <w:highlight w:val="none"/>
              </w:rPr>
              <w:t>价格给予</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%的扣除。</w:t>
            </w:r>
          </w:p>
          <w:p w14:paraId="0B8BB1B6">
            <w:pPr>
              <w:numPr>
                <w:ilvl w:val="0"/>
                <w:numId w:val="0"/>
              </w:numPr>
              <w:spacing w:line="480" w:lineRule="atLeast"/>
              <w:rPr>
                <w:rFonts w:hint="eastAsia" w:ascii="宋体" w:hAnsi="宋体" w:eastAsia="宋体" w:cs="宋体"/>
                <w:b/>
                <w:bCs/>
                <w:color w:val="auto"/>
                <w:spacing w:val="-5"/>
                <w:sz w:val="23"/>
                <w:szCs w:val="23"/>
                <w:highlight w:val="none"/>
                <w:lang w:eastAsia="zh-CN"/>
              </w:rPr>
            </w:pPr>
            <w:r>
              <w:rPr>
                <w:rFonts w:hint="eastAsia" w:ascii="宋体" w:hAnsi="宋体" w:eastAsia="宋体" w:cs="宋体"/>
                <w:b/>
                <w:bCs/>
                <w:color w:val="auto"/>
                <w:spacing w:val="-5"/>
                <w:sz w:val="23"/>
                <w:szCs w:val="23"/>
                <w:highlight w:val="none"/>
              </w:rPr>
              <w:t>所投残疾人福利性单位企业产品报价=所投</w:t>
            </w:r>
            <w:r>
              <w:rPr>
                <w:rFonts w:ascii="宋体" w:hAnsi="宋体" w:eastAsia="宋体" w:cs="宋体"/>
                <w:b/>
                <w:bCs/>
                <w:color w:val="auto"/>
                <w:spacing w:val="-5"/>
                <w:sz w:val="23"/>
                <w:szCs w:val="23"/>
                <w:highlight w:val="none"/>
              </w:rPr>
              <w:t>残疾人福利性单位</w:t>
            </w:r>
            <w:r>
              <w:rPr>
                <w:rFonts w:hint="eastAsia" w:ascii="宋体" w:hAnsi="宋体" w:eastAsia="宋体" w:cs="宋体"/>
                <w:b/>
                <w:bCs/>
                <w:color w:val="auto"/>
                <w:spacing w:val="-5"/>
                <w:sz w:val="23"/>
                <w:szCs w:val="23"/>
                <w:highlight w:val="none"/>
              </w:rPr>
              <w:t>企业产品报价×（1-</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w:t>
            </w:r>
            <w:r>
              <w:rPr>
                <w:rFonts w:hint="eastAsia" w:ascii="宋体" w:hAnsi="宋体" w:eastAsia="宋体" w:cs="宋体"/>
                <w:b/>
                <w:bCs/>
                <w:color w:val="auto"/>
                <w:spacing w:val="-5"/>
                <w:sz w:val="23"/>
                <w:szCs w:val="23"/>
                <w:highlight w:val="none"/>
                <w:lang w:eastAsia="zh-CN"/>
              </w:rPr>
              <w:t>。</w:t>
            </w:r>
          </w:p>
          <w:p w14:paraId="67A5977B">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3"/>
                <w:szCs w:val="23"/>
                <w:highlight w:val="none"/>
              </w:rPr>
              <w:t>同一</w:t>
            </w:r>
            <w:r>
              <w:rPr>
                <w:rFonts w:hint="eastAsia" w:ascii="宋体" w:hAnsi="宋体" w:eastAsia="宋体" w:cs="宋体"/>
                <w:b/>
                <w:bCs/>
                <w:color w:val="auto"/>
                <w:spacing w:val="-5"/>
                <w:sz w:val="23"/>
                <w:szCs w:val="23"/>
                <w:highlight w:val="none"/>
                <w:lang w:eastAsia="zh-CN"/>
              </w:rPr>
              <w:t>投标人</w:t>
            </w:r>
            <w:r>
              <w:rPr>
                <w:rFonts w:hint="eastAsia" w:ascii="宋体" w:hAnsi="宋体" w:eastAsia="宋体" w:cs="宋体"/>
                <w:b/>
                <w:bCs/>
                <w:color w:val="auto"/>
                <w:spacing w:val="-5"/>
                <w:sz w:val="23"/>
                <w:szCs w:val="23"/>
                <w:highlight w:val="none"/>
              </w:rPr>
              <w:t>，中小微企业产品、监狱企业产品、残疾人福利性单位产品的价格扣除优惠只享受一次，不得重复享受。</w:t>
            </w:r>
          </w:p>
        </w:tc>
      </w:tr>
      <w:tr w14:paraId="573E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842" w:type="dxa"/>
            <w:vMerge w:val="restart"/>
            <w:tcMar>
              <w:left w:w="57" w:type="dxa"/>
              <w:right w:w="57" w:type="dxa"/>
            </w:tcMar>
            <w:vAlign w:val="center"/>
          </w:tcPr>
          <w:p w14:paraId="5388CF5A">
            <w:pPr>
              <w:pStyle w:val="39"/>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2.2.</w:t>
            </w:r>
            <w:r>
              <w:rPr>
                <w:rFonts w:hint="eastAsia" w:cs="宋体"/>
                <w:color w:val="auto"/>
                <w:highlight w:val="none"/>
                <w:lang w:val="en-US" w:eastAsia="zh-CN"/>
              </w:rPr>
              <w:t>2</w:t>
            </w:r>
            <w:r>
              <w:rPr>
                <w:rFonts w:hint="eastAsia" w:ascii="宋体" w:hAnsi="宋体" w:eastAsia="宋体" w:cs="宋体"/>
                <w:color w:val="auto"/>
                <w:highlight w:val="none"/>
              </w:rPr>
              <w:br w:type="textWrapping"/>
            </w:r>
            <w:r>
              <w:rPr>
                <w:rFonts w:hint="eastAsia" w:ascii="宋体" w:hAnsi="宋体" w:eastAsia="宋体" w:cs="宋体"/>
                <w:color w:val="auto"/>
                <w:highlight w:val="none"/>
              </w:rPr>
              <w:t>(</w:t>
            </w:r>
            <w:r>
              <w:rPr>
                <w:rFonts w:hint="eastAsia" w:cs="宋体"/>
                <w:color w:val="auto"/>
                <w:highlight w:val="none"/>
                <w:lang w:val="en-US" w:eastAsia="zh-CN"/>
              </w:rPr>
              <w:t>2</w:t>
            </w:r>
            <w:r>
              <w:rPr>
                <w:rFonts w:hint="eastAsia" w:ascii="宋体" w:hAnsi="宋体" w:eastAsia="宋体" w:cs="宋体"/>
                <w:color w:val="auto"/>
                <w:highlight w:val="none"/>
              </w:rPr>
              <w:t>)</w:t>
            </w:r>
          </w:p>
        </w:tc>
        <w:tc>
          <w:tcPr>
            <w:tcW w:w="1157" w:type="dxa"/>
            <w:vMerge w:val="restart"/>
            <w:tcMar>
              <w:left w:w="57" w:type="dxa"/>
              <w:right w:w="57" w:type="dxa"/>
            </w:tcMar>
            <w:vAlign w:val="center"/>
          </w:tcPr>
          <w:p w14:paraId="7F5990F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技术评分标准</w:t>
            </w:r>
          </w:p>
          <w:p w14:paraId="7FFB5437">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50</w:t>
            </w:r>
            <w:r>
              <w:rPr>
                <w:rFonts w:hint="eastAsia" w:ascii="宋体" w:hAnsi="宋体" w:eastAsia="宋体" w:cs="宋体"/>
                <w:color w:val="auto"/>
                <w:sz w:val="24"/>
                <w:highlight w:val="none"/>
              </w:rPr>
              <w:t>分）</w:t>
            </w:r>
          </w:p>
        </w:tc>
        <w:tc>
          <w:tcPr>
            <w:tcW w:w="1523" w:type="dxa"/>
            <w:tcMar>
              <w:left w:w="57" w:type="dxa"/>
              <w:right w:w="57" w:type="dxa"/>
            </w:tcMar>
            <w:vAlign w:val="center"/>
          </w:tcPr>
          <w:p w14:paraId="693B7B7A">
            <w:pPr>
              <w:autoSpaceDE w:val="0"/>
              <w:autoSpaceDN w:val="0"/>
              <w:adjustRightInd w:val="0"/>
              <w:snapToGrid w:val="0"/>
              <w:spacing w:line="360" w:lineRule="auto"/>
              <w:ind w:leftChars="-5" w:right="97" w:hanging="9" w:hangingChars="4"/>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技术参数</w:t>
            </w:r>
          </w:p>
          <w:p w14:paraId="404F7CE0">
            <w:pPr>
              <w:autoSpaceDE w:val="0"/>
              <w:autoSpaceDN w:val="0"/>
              <w:adjustRightInd w:val="0"/>
              <w:snapToGrid w:val="0"/>
              <w:spacing w:line="360" w:lineRule="auto"/>
              <w:ind w:leftChars="-5" w:right="97" w:hanging="9" w:hangingChars="4"/>
              <w:jc w:val="center"/>
              <w:rPr>
                <w:rFonts w:hint="default" w:ascii="宋体" w:hAnsi="宋体" w:eastAsia="宋体" w:cs="宋体"/>
                <w:color w:val="auto"/>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0-20分）</w:t>
            </w:r>
          </w:p>
        </w:tc>
        <w:tc>
          <w:tcPr>
            <w:tcW w:w="5936" w:type="dxa"/>
            <w:tcMar>
              <w:left w:w="57" w:type="dxa"/>
              <w:right w:w="57" w:type="dxa"/>
            </w:tcMar>
            <w:vAlign w:val="center"/>
          </w:tcPr>
          <w:p w14:paraId="32417D57">
            <w:pPr>
              <w:snapToGrid w:val="0"/>
              <w:spacing w:line="360" w:lineRule="auto"/>
              <w:rPr>
                <w:rFonts w:hint="eastAsia"/>
                <w:color w:val="auto"/>
                <w:highlight w:val="non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所投产品</w:t>
            </w:r>
            <w:r>
              <w:rPr>
                <w:rFonts w:hint="eastAsia" w:ascii="宋体" w:hAnsi="宋体" w:eastAsia="宋体" w:cs="宋体"/>
                <w:color w:val="auto"/>
                <w:sz w:val="24"/>
                <w:highlight w:val="none"/>
                <w:lang w:eastAsia="zh-CN"/>
              </w:rPr>
              <w:t>规格、型号</w:t>
            </w:r>
            <w:r>
              <w:rPr>
                <w:rFonts w:hint="eastAsia" w:ascii="宋体" w:hAnsi="宋体" w:eastAsia="宋体" w:cs="宋体"/>
                <w:color w:val="auto"/>
                <w:sz w:val="24"/>
                <w:highlight w:val="none"/>
              </w:rPr>
              <w:t>完全</w:t>
            </w:r>
            <w:r>
              <w:rPr>
                <w:rFonts w:hint="eastAsia" w:ascii="宋体" w:hAnsi="宋体" w:eastAsia="宋体" w:cs="宋体"/>
                <w:i w:val="0"/>
                <w:iCs w:val="0"/>
                <w:color w:val="auto"/>
                <w:kern w:val="0"/>
                <w:sz w:val="24"/>
                <w:szCs w:val="24"/>
                <w:highlight w:val="none"/>
                <w:u w:val="none"/>
                <w:lang w:val="en-US" w:eastAsia="zh-CN" w:bidi="ar"/>
              </w:rPr>
              <w:t>满足招标文件技术参数要求的得基本分20分；</w:t>
            </w:r>
            <w:r>
              <w:rPr>
                <w:rFonts w:hint="eastAsia" w:ascii="宋体" w:hAnsi="宋体" w:cs="宋体"/>
                <w:i w:val="0"/>
                <w:iCs w:val="0"/>
                <w:color w:val="auto"/>
                <w:kern w:val="0"/>
                <w:sz w:val="24"/>
                <w:szCs w:val="24"/>
                <w:highlight w:val="none"/>
                <w:u w:val="none"/>
                <w:lang w:val="en-US" w:eastAsia="zh-CN" w:bidi="ar"/>
              </w:rPr>
              <w:t>每有一项</w:t>
            </w:r>
            <w:r>
              <w:rPr>
                <w:rFonts w:hint="eastAsia" w:ascii="宋体" w:hAnsi="宋体" w:eastAsia="宋体" w:cs="宋体"/>
                <w:i w:val="0"/>
                <w:iCs w:val="0"/>
                <w:color w:val="auto"/>
                <w:kern w:val="0"/>
                <w:sz w:val="24"/>
                <w:szCs w:val="24"/>
                <w:highlight w:val="none"/>
                <w:u w:val="none"/>
                <w:lang w:val="en-US" w:eastAsia="zh-CN" w:bidi="ar"/>
              </w:rPr>
              <w:t>负偏离或未响应的，每项扣2分，扣完为止</w:t>
            </w:r>
            <w:r>
              <w:rPr>
                <w:rFonts w:hint="eastAsia" w:ascii="宋体" w:hAnsi="宋体" w:cs="宋体"/>
                <w:i w:val="0"/>
                <w:iCs w:val="0"/>
                <w:color w:val="auto"/>
                <w:kern w:val="0"/>
                <w:sz w:val="24"/>
                <w:szCs w:val="24"/>
                <w:highlight w:val="none"/>
                <w:u w:val="none"/>
                <w:lang w:val="en-US" w:eastAsia="zh-CN" w:bidi="ar"/>
              </w:rPr>
              <w:t>。</w:t>
            </w:r>
          </w:p>
        </w:tc>
      </w:tr>
      <w:tr w14:paraId="37C9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842" w:type="dxa"/>
            <w:vMerge w:val="continue"/>
            <w:tcMar>
              <w:left w:w="57" w:type="dxa"/>
              <w:right w:w="57" w:type="dxa"/>
            </w:tcMar>
            <w:vAlign w:val="center"/>
          </w:tcPr>
          <w:p w14:paraId="2D7D5F0A">
            <w:pPr>
              <w:pStyle w:val="39"/>
              <w:spacing w:before="0" w:beforeAutospacing="0" w:after="0" w:afterAutospacing="0" w:line="360" w:lineRule="auto"/>
              <w:jc w:val="center"/>
              <w:rPr>
                <w:rFonts w:hint="eastAsia" w:ascii="宋体" w:hAnsi="宋体" w:eastAsia="宋体" w:cs="宋体"/>
                <w:color w:val="auto"/>
                <w:highlight w:val="none"/>
              </w:rPr>
            </w:pPr>
          </w:p>
        </w:tc>
        <w:tc>
          <w:tcPr>
            <w:tcW w:w="1157" w:type="dxa"/>
            <w:vMerge w:val="continue"/>
            <w:tcMar>
              <w:left w:w="57" w:type="dxa"/>
              <w:right w:w="57" w:type="dxa"/>
            </w:tcMar>
            <w:vAlign w:val="center"/>
          </w:tcPr>
          <w:p w14:paraId="7B12186E">
            <w:pPr>
              <w:spacing w:line="360" w:lineRule="auto"/>
              <w:jc w:val="center"/>
              <w:rPr>
                <w:rFonts w:hint="eastAsia" w:ascii="宋体" w:hAnsi="宋体" w:eastAsia="宋体" w:cs="宋体"/>
                <w:color w:val="auto"/>
                <w:sz w:val="24"/>
                <w:highlight w:val="none"/>
              </w:rPr>
            </w:pPr>
          </w:p>
        </w:tc>
        <w:tc>
          <w:tcPr>
            <w:tcW w:w="1523" w:type="dxa"/>
            <w:shd w:val="clear" w:color="auto" w:fill="auto"/>
            <w:tcMar>
              <w:left w:w="57" w:type="dxa"/>
              <w:right w:w="57" w:type="dxa"/>
            </w:tcMar>
            <w:vAlign w:val="center"/>
          </w:tcPr>
          <w:p w14:paraId="2EA3A997">
            <w:pPr>
              <w:autoSpaceDE w:val="0"/>
              <w:autoSpaceDN w:val="0"/>
              <w:adjustRightInd w:val="0"/>
              <w:snapToGrid w:val="0"/>
              <w:spacing w:line="360" w:lineRule="auto"/>
              <w:ind w:leftChars="-5" w:right="97" w:hanging="9" w:hangingChars="4"/>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实施方案</w:t>
            </w:r>
          </w:p>
          <w:p w14:paraId="7D097B60">
            <w:pPr>
              <w:autoSpaceDE w:val="0"/>
              <w:autoSpaceDN w:val="0"/>
              <w:adjustRightInd w:val="0"/>
              <w:snapToGrid w:val="0"/>
              <w:spacing w:line="360" w:lineRule="auto"/>
              <w:ind w:left="-1" w:leftChars="-5" w:right="97" w:rightChars="0" w:hanging="9" w:hangingChars="4"/>
              <w:jc w:val="center"/>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0-6</w:t>
            </w:r>
            <w:r>
              <w:rPr>
                <w:rFonts w:hint="eastAsia" w:ascii="宋体" w:hAnsi="宋体" w:cs="宋体"/>
                <w:color w:val="auto"/>
                <w:sz w:val="24"/>
                <w:szCs w:val="24"/>
                <w:highlight w:val="none"/>
              </w:rPr>
              <w:t>分）</w:t>
            </w:r>
          </w:p>
        </w:tc>
        <w:tc>
          <w:tcPr>
            <w:tcW w:w="5936" w:type="dxa"/>
            <w:shd w:val="clear" w:color="auto" w:fill="auto"/>
            <w:tcMar>
              <w:left w:w="57" w:type="dxa"/>
              <w:right w:w="57" w:type="dxa"/>
            </w:tcMar>
            <w:vAlign w:val="center"/>
          </w:tcPr>
          <w:p w14:paraId="46E789F3">
            <w:pPr>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根据投标人对项目需求的理解包括项目现状，对网络链路、平台、设备等的了解熟悉程度</w:t>
            </w:r>
            <w:r>
              <w:rPr>
                <w:rFonts w:hint="eastAsia" w:ascii="宋体" w:hAnsi="宋体" w:eastAsia="宋体" w:cs="宋体"/>
                <w:color w:val="auto"/>
                <w:sz w:val="24"/>
                <w:szCs w:val="24"/>
                <w:highlight w:val="none"/>
                <w:lang w:eastAsia="zh-CN"/>
              </w:rPr>
              <w:t>进行综合打分，</w:t>
            </w:r>
          </w:p>
          <w:p w14:paraId="6A1BE24E">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项目整体实施方案与服务完善，实施计划操作性强、交付物清晰完善、合理的得</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p w14:paraId="3E1E15BB">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项目整体实施方案与服务较完善，实施计划操作性较强、交付物清晰较完善、较合理的的得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p w14:paraId="216ACCF1">
            <w:p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未提供的不得分。</w:t>
            </w:r>
          </w:p>
        </w:tc>
      </w:tr>
      <w:tr w14:paraId="47DA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842" w:type="dxa"/>
            <w:vMerge w:val="continue"/>
            <w:tcMar>
              <w:left w:w="57" w:type="dxa"/>
              <w:right w:w="57" w:type="dxa"/>
            </w:tcMar>
            <w:vAlign w:val="center"/>
          </w:tcPr>
          <w:p w14:paraId="29C393EF">
            <w:pPr>
              <w:pStyle w:val="39"/>
              <w:spacing w:before="0" w:beforeAutospacing="0" w:after="0" w:afterAutospacing="0" w:line="360" w:lineRule="auto"/>
              <w:jc w:val="center"/>
              <w:rPr>
                <w:rFonts w:hint="eastAsia" w:ascii="宋体" w:hAnsi="宋体" w:eastAsia="宋体" w:cs="宋体"/>
                <w:color w:val="auto"/>
                <w:highlight w:val="none"/>
              </w:rPr>
            </w:pPr>
          </w:p>
        </w:tc>
        <w:tc>
          <w:tcPr>
            <w:tcW w:w="1157" w:type="dxa"/>
            <w:vMerge w:val="continue"/>
            <w:tcMar>
              <w:left w:w="57" w:type="dxa"/>
              <w:right w:w="57" w:type="dxa"/>
            </w:tcMar>
            <w:vAlign w:val="center"/>
          </w:tcPr>
          <w:p w14:paraId="422384DB">
            <w:pPr>
              <w:spacing w:line="360" w:lineRule="auto"/>
              <w:jc w:val="center"/>
              <w:rPr>
                <w:rFonts w:hint="eastAsia" w:ascii="宋体" w:hAnsi="宋体" w:eastAsia="宋体" w:cs="宋体"/>
                <w:color w:val="auto"/>
                <w:sz w:val="24"/>
                <w:highlight w:val="none"/>
              </w:rPr>
            </w:pPr>
          </w:p>
        </w:tc>
        <w:tc>
          <w:tcPr>
            <w:tcW w:w="1523" w:type="dxa"/>
            <w:shd w:val="clear" w:color="auto" w:fill="auto"/>
            <w:tcMar>
              <w:left w:w="57" w:type="dxa"/>
              <w:right w:w="57" w:type="dxa"/>
            </w:tcMar>
            <w:vAlign w:val="center"/>
          </w:tcPr>
          <w:p w14:paraId="2FA9083C">
            <w:pPr>
              <w:snapToGrid w:val="0"/>
              <w:spacing w:line="360" w:lineRule="auto"/>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质量保障</w:t>
            </w:r>
            <w:r>
              <w:rPr>
                <w:rFonts w:hint="eastAsia" w:ascii="宋体" w:hAnsi="宋体" w:cs="宋体"/>
                <w:color w:val="auto"/>
                <w:kern w:val="0"/>
                <w:sz w:val="24"/>
                <w:highlight w:val="none"/>
                <w:lang w:eastAsia="zh-CN"/>
              </w:rPr>
              <w:t>及安全维护</w:t>
            </w:r>
            <w:r>
              <w:rPr>
                <w:rFonts w:hint="eastAsia" w:ascii="宋体" w:hAnsi="宋体" w:cs="宋体"/>
                <w:color w:val="auto"/>
                <w:kern w:val="0"/>
                <w:sz w:val="24"/>
                <w:highlight w:val="none"/>
              </w:rPr>
              <w:t>措施</w:t>
            </w:r>
          </w:p>
          <w:p w14:paraId="1372961C">
            <w:pPr>
              <w:snapToGrid w:val="0"/>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0-6</w:t>
            </w:r>
            <w:r>
              <w:rPr>
                <w:rFonts w:hint="eastAsia" w:ascii="宋体" w:hAnsi="宋体" w:cs="宋体"/>
                <w:color w:val="auto"/>
                <w:kern w:val="0"/>
                <w:sz w:val="24"/>
                <w:highlight w:val="none"/>
              </w:rPr>
              <w:t>分）</w:t>
            </w:r>
          </w:p>
        </w:tc>
        <w:tc>
          <w:tcPr>
            <w:tcW w:w="5936" w:type="dxa"/>
            <w:shd w:val="clear" w:color="auto" w:fill="auto"/>
            <w:tcMar>
              <w:left w:w="57" w:type="dxa"/>
              <w:right w:w="57" w:type="dxa"/>
            </w:tcMar>
            <w:vAlign w:val="center"/>
          </w:tcPr>
          <w:p w14:paraId="0202F68E">
            <w:pPr>
              <w:snapToGrid w:val="0"/>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根据投标人提供的</w:t>
            </w:r>
            <w:r>
              <w:rPr>
                <w:rFonts w:hint="eastAsia" w:ascii="宋体" w:hAnsi="宋体" w:cs="宋体"/>
                <w:color w:val="auto"/>
                <w:kern w:val="0"/>
                <w:sz w:val="24"/>
                <w:highlight w:val="none"/>
              </w:rPr>
              <w:t>质量保障</w:t>
            </w:r>
            <w:r>
              <w:rPr>
                <w:rFonts w:hint="eastAsia" w:ascii="宋体" w:hAnsi="宋体" w:cs="宋体"/>
                <w:color w:val="auto"/>
                <w:kern w:val="0"/>
                <w:sz w:val="24"/>
                <w:highlight w:val="none"/>
                <w:lang w:eastAsia="zh-CN"/>
              </w:rPr>
              <w:t>及安全维护</w:t>
            </w:r>
            <w:r>
              <w:rPr>
                <w:rFonts w:hint="eastAsia" w:ascii="宋体" w:hAnsi="宋体" w:cs="宋体"/>
                <w:color w:val="auto"/>
                <w:kern w:val="0"/>
                <w:sz w:val="24"/>
                <w:highlight w:val="none"/>
              </w:rPr>
              <w:t>措施</w:t>
            </w:r>
            <w:r>
              <w:rPr>
                <w:rFonts w:hint="eastAsia" w:ascii="宋体" w:hAnsi="宋体" w:eastAsia="宋体" w:cs="宋体"/>
                <w:color w:val="auto"/>
                <w:sz w:val="24"/>
                <w:highlight w:val="none"/>
                <w:lang w:eastAsia="zh-CN"/>
              </w:rPr>
              <w:t>的合理性、完整性、可行性进行综合打分，</w:t>
            </w:r>
          </w:p>
          <w:p w14:paraId="6DF078B9">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cs="宋体"/>
                <w:color w:val="auto"/>
                <w:kern w:val="0"/>
                <w:sz w:val="24"/>
                <w:highlight w:val="none"/>
              </w:rPr>
              <w:t>质量保障</w:t>
            </w:r>
            <w:r>
              <w:rPr>
                <w:rFonts w:hint="eastAsia" w:ascii="宋体" w:hAnsi="宋体" w:cs="宋体"/>
                <w:color w:val="auto"/>
                <w:kern w:val="0"/>
                <w:sz w:val="24"/>
                <w:highlight w:val="none"/>
                <w:lang w:eastAsia="zh-CN"/>
              </w:rPr>
              <w:t>及安全维护</w:t>
            </w:r>
            <w:r>
              <w:rPr>
                <w:rFonts w:hint="eastAsia" w:ascii="宋体" w:hAnsi="宋体" w:cs="宋体"/>
                <w:color w:val="auto"/>
                <w:kern w:val="0"/>
                <w:sz w:val="24"/>
                <w:highlight w:val="none"/>
              </w:rPr>
              <w:t>措施</w:t>
            </w:r>
            <w:r>
              <w:rPr>
                <w:rFonts w:hint="eastAsia" w:ascii="宋体" w:hAnsi="宋体" w:cs="宋体"/>
                <w:color w:val="auto"/>
                <w:kern w:val="0"/>
                <w:sz w:val="24"/>
                <w:highlight w:val="none"/>
                <w:lang w:eastAsia="zh-CN"/>
              </w:rPr>
              <w:t>内容完整、具体</w:t>
            </w:r>
            <w:r>
              <w:rPr>
                <w:rFonts w:hint="eastAsia" w:ascii="宋体" w:hAnsi="宋体" w:eastAsia="宋体" w:cs="宋体"/>
                <w:color w:val="auto"/>
                <w:sz w:val="24"/>
                <w:highlight w:val="none"/>
                <w:lang w:eastAsia="zh-CN"/>
              </w:rPr>
              <w:t>详实</w:t>
            </w:r>
            <w:r>
              <w:rPr>
                <w:rFonts w:hint="eastAsia" w:ascii="宋体" w:hAnsi="宋体" w:cs="宋体"/>
                <w:color w:val="auto"/>
                <w:kern w:val="0"/>
                <w:sz w:val="24"/>
                <w:highlight w:val="none"/>
                <w:lang w:eastAsia="zh-CN"/>
              </w:rPr>
              <w:t>、措施合理可行</w:t>
            </w:r>
            <w:r>
              <w:rPr>
                <w:rFonts w:hint="eastAsia" w:ascii="宋体" w:hAnsi="宋体" w:eastAsia="宋体" w:cs="宋体"/>
                <w:color w:val="auto"/>
                <w:sz w:val="24"/>
                <w:highlight w:val="none"/>
                <w:lang w:eastAsia="zh-CN"/>
              </w:rPr>
              <w:t>、可行性强，得</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分；</w:t>
            </w:r>
          </w:p>
          <w:p w14:paraId="2A8EF853">
            <w:pPr>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cs="宋体"/>
                <w:color w:val="auto"/>
                <w:kern w:val="0"/>
                <w:sz w:val="24"/>
                <w:highlight w:val="none"/>
              </w:rPr>
              <w:t>量保障</w:t>
            </w:r>
            <w:r>
              <w:rPr>
                <w:rFonts w:hint="eastAsia" w:ascii="宋体" w:hAnsi="宋体" w:cs="宋体"/>
                <w:color w:val="auto"/>
                <w:kern w:val="0"/>
                <w:sz w:val="24"/>
                <w:highlight w:val="none"/>
                <w:lang w:eastAsia="zh-CN"/>
              </w:rPr>
              <w:t>及安全维护</w:t>
            </w:r>
            <w:r>
              <w:rPr>
                <w:rFonts w:hint="eastAsia" w:ascii="宋体" w:hAnsi="宋体" w:cs="宋体"/>
                <w:color w:val="auto"/>
                <w:kern w:val="0"/>
                <w:sz w:val="24"/>
                <w:highlight w:val="none"/>
              </w:rPr>
              <w:t>措施</w:t>
            </w:r>
            <w:r>
              <w:rPr>
                <w:rFonts w:hint="eastAsia" w:ascii="宋体" w:hAnsi="宋体" w:cs="宋体"/>
                <w:color w:val="auto"/>
                <w:kern w:val="0"/>
                <w:sz w:val="24"/>
                <w:highlight w:val="none"/>
                <w:lang w:eastAsia="zh-CN"/>
              </w:rPr>
              <w:t>内容一般、基本可行</w:t>
            </w:r>
            <w:r>
              <w:rPr>
                <w:rFonts w:hint="eastAsia" w:ascii="宋体" w:hAnsi="宋体" w:eastAsia="宋体" w:cs="宋体"/>
                <w:color w:val="auto"/>
                <w:sz w:val="24"/>
                <w:highlight w:val="none"/>
                <w:lang w:eastAsia="zh-CN"/>
              </w:rPr>
              <w:t>、可行性一般，得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eastAsia="zh-CN"/>
              </w:rPr>
              <w:t>分；</w:t>
            </w:r>
          </w:p>
          <w:p w14:paraId="61F09A49">
            <w:pPr>
              <w:snapToGrid w:val="0"/>
              <w:spacing w:line="36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未提供的不得分。</w:t>
            </w:r>
          </w:p>
        </w:tc>
      </w:tr>
      <w:tr w14:paraId="13CA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842" w:type="dxa"/>
            <w:vMerge w:val="continue"/>
            <w:tcMar>
              <w:left w:w="57" w:type="dxa"/>
              <w:right w:w="57" w:type="dxa"/>
            </w:tcMar>
            <w:vAlign w:val="center"/>
          </w:tcPr>
          <w:p w14:paraId="22CB20AF">
            <w:pPr>
              <w:pStyle w:val="39"/>
              <w:spacing w:before="0" w:beforeAutospacing="0" w:after="0" w:afterAutospacing="0" w:line="360" w:lineRule="auto"/>
              <w:jc w:val="center"/>
              <w:rPr>
                <w:rFonts w:hint="eastAsia" w:ascii="宋体" w:hAnsi="宋体" w:eastAsia="宋体" w:cs="宋体"/>
                <w:color w:val="auto"/>
                <w:highlight w:val="none"/>
              </w:rPr>
            </w:pPr>
          </w:p>
        </w:tc>
        <w:tc>
          <w:tcPr>
            <w:tcW w:w="1157" w:type="dxa"/>
            <w:vMerge w:val="continue"/>
            <w:tcMar>
              <w:left w:w="57" w:type="dxa"/>
              <w:right w:w="57" w:type="dxa"/>
            </w:tcMar>
            <w:vAlign w:val="center"/>
          </w:tcPr>
          <w:p w14:paraId="39912193">
            <w:pPr>
              <w:pStyle w:val="39"/>
              <w:spacing w:before="0" w:beforeAutospacing="0" w:after="0" w:afterAutospacing="0" w:line="360" w:lineRule="auto"/>
              <w:jc w:val="center"/>
              <w:rPr>
                <w:rFonts w:hint="eastAsia" w:ascii="宋体" w:hAnsi="宋体" w:eastAsia="宋体" w:cs="宋体"/>
                <w:color w:val="auto"/>
                <w:highlight w:val="none"/>
              </w:rPr>
            </w:pPr>
          </w:p>
        </w:tc>
        <w:tc>
          <w:tcPr>
            <w:tcW w:w="1523" w:type="dxa"/>
            <w:tcMar>
              <w:left w:w="57" w:type="dxa"/>
              <w:right w:w="57" w:type="dxa"/>
            </w:tcMar>
            <w:vAlign w:val="center"/>
          </w:tcPr>
          <w:p w14:paraId="4868F75C">
            <w:pPr>
              <w:snapToGrid w:val="0"/>
              <w:spacing w:line="360" w:lineRule="auto"/>
              <w:jc w:val="center"/>
              <w:rPr>
                <w:rFonts w:hint="eastAsia" w:ascii="宋体" w:hAnsi="宋体" w:eastAsia="宋体" w:cs="宋体"/>
                <w:color w:val="auto"/>
                <w:sz w:val="24"/>
                <w:highlight w:val="none"/>
              </w:rPr>
            </w:pPr>
            <w:r>
              <w:rPr>
                <w:rFonts w:hint="eastAsia" w:ascii="宋体" w:hAnsi="宋体" w:cs="宋体"/>
                <w:color w:val="auto"/>
                <w:kern w:val="0"/>
                <w:sz w:val="24"/>
                <w:highlight w:val="none"/>
              </w:rPr>
              <w:t>应急处理方案（</w:t>
            </w:r>
            <w:r>
              <w:rPr>
                <w:rFonts w:hint="eastAsia" w:ascii="宋体" w:hAnsi="宋体" w:cs="宋体"/>
                <w:color w:val="auto"/>
                <w:kern w:val="0"/>
                <w:sz w:val="24"/>
                <w:highlight w:val="none"/>
                <w:lang w:val="en-US" w:eastAsia="zh-CN"/>
              </w:rPr>
              <w:t>0-6</w:t>
            </w:r>
            <w:r>
              <w:rPr>
                <w:rFonts w:hint="eastAsia" w:ascii="宋体" w:hAnsi="宋体" w:cs="宋体"/>
                <w:color w:val="auto"/>
                <w:kern w:val="0"/>
                <w:sz w:val="24"/>
                <w:highlight w:val="none"/>
              </w:rPr>
              <w:t>分）</w:t>
            </w:r>
          </w:p>
        </w:tc>
        <w:tc>
          <w:tcPr>
            <w:tcW w:w="5936" w:type="dxa"/>
            <w:tcMar>
              <w:left w:w="57" w:type="dxa"/>
              <w:right w:w="57" w:type="dxa"/>
            </w:tcMar>
            <w:vAlign w:val="center"/>
          </w:tcPr>
          <w:p w14:paraId="32C3FB00">
            <w:pPr>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根据投标人的应急处理方案（处理流程措施、应急保障措施等）合理性且能落实到实处</w:t>
            </w:r>
            <w:r>
              <w:rPr>
                <w:rFonts w:hint="eastAsia" w:ascii="宋体" w:hAnsi="宋体" w:eastAsia="宋体" w:cs="宋体"/>
                <w:color w:val="auto"/>
                <w:kern w:val="0"/>
                <w:sz w:val="24"/>
                <w:highlight w:val="none"/>
                <w:lang w:val="en-US" w:eastAsia="zh-CN"/>
              </w:rPr>
              <w:t>进行</w:t>
            </w:r>
            <w:r>
              <w:rPr>
                <w:rFonts w:hint="eastAsia" w:ascii="宋体" w:hAnsi="宋体" w:eastAsia="宋体" w:cs="宋体"/>
                <w:color w:val="auto"/>
                <w:kern w:val="0"/>
                <w:sz w:val="24"/>
                <w:highlight w:val="none"/>
              </w:rPr>
              <w:t>综合</w:t>
            </w:r>
            <w:r>
              <w:rPr>
                <w:rFonts w:hint="eastAsia" w:ascii="宋体" w:hAnsi="宋体" w:eastAsia="宋体" w:cs="宋体"/>
                <w:color w:val="auto"/>
                <w:kern w:val="0"/>
                <w:sz w:val="24"/>
                <w:highlight w:val="none"/>
                <w:lang w:eastAsia="zh-CN"/>
              </w:rPr>
              <w:t>打分，</w:t>
            </w:r>
            <w:r>
              <w:rPr>
                <w:rFonts w:hint="eastAsia" w:ascii="宋体" w:hAnsi="宋体" w:eastAsia="宋体" w:cs="宋体"/>
                <w:color w:val="auto"/>
                <w:kern w:val="0"/>
                <w:sz w:val="24"/>
                <w:highlight w:val="none"/>
              </w:rPr>
              <w:t>要求各种突发事件的应急流程和措施合理规范、应急管理制度完善，要求响应时间等完全符合招标文件要求。</w:t>
            </w:r>
          </w:p>
          <w:p w14:paraId="3F5FC43C">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投标人提供的方案和措施服务内容完整，合理可行的，得6分；</w:t>
            </w:r>
          </w:p>
          <w:p w14:paraId="4DB4D505">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投标人提供的方案和措施服务内容完整度一般、基本可行的，得</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分；</w:t>
            </w:r>
          </w:p>
          <w:p w14:paraId="7CAAB85A">
            <w:pPr>
              <w:spacing w:line="360" w:lineRule="auto"/>
              <w:rPr>
                <w:rFonts w:hint="eastAsia"/>
                <w:color w:val="auto"/>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未提供的不得分。</w:t>
            </w:r>
          </w:p>
        </w:tc>
      </w:tr>
      <w:tr w14:paraId="677A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842" w:type="dxa"/>
            <w:vMerge w:val="continue"/>
            <w:tcMar>
              <w:left w:w="57" w:type="dxa"/>
              <w:right w:w="57" w:type="dxa"/>
            </w:tcMar>
            <w:vAlign w:val="center"/>
          </w:tcPr>
          <w:p w14:paraId="670A18EE">
            <w:pPr>
              <w:pStyle w:val="39"/>
              <w:spacing w:before="0" w:beforeAutospacing="0" w:after="0" w:afterAutospacing="0" w:line="360" w:lineRule="auto"/>
              <w:jc w:val="center"/>
              <w:rPr>
                <w:rFonts w:hint="eastAsia" w:ascii="宋体" w:hAnsi="宋体" w:eastAsia="宋体" w:cs="宋体"/>
                <w:color w:val="auto"/>
                <w:highlight w:val="none"/>
              </w:rPr>
            </w:pPr>
          </w:p>
        </w:tc>
        <w:tc>
          <w:tcPr>
            <w:tcW w:w="1157" w:type="dxa"/>
            <w:vMerge w:val="continue"/>
            <w:tcMar>
              <w:left w:w="57" w:type="dxa"/>
              <w:right w:w="57" w:type="dxa"/>
            </w:tcMar>
            <w:vAlign w:val="center"/>
          </w:tcPr>
          <w:p w14:paraId="4D7986CD">
            <w:pPr>
              <w:pStyle w:val="39"/>
              <w:spacing w:before="0" w:beforeAutospacing="0" w:after="0" w:afterAutospacing="0" w:line="360" w:lineRule="auto"/>
              <w:jc w:val="center"/>
              <w:rPr>
                <w:rFonts w:hint="eastAsia" w:ascii="宋体" w:hAnsi="宋体" w:eastAsia="宋体" w:cs="宋体"/>
                <w:color w:val="auto"/>
                <w:highlight w:val="none"/>
              </w:rPr>
            </w:pPr>
          </w:p>
        </w:tc>
        <w:tc>
          <w:tcPr>
            <w:tcW w:w="1523" w:type="dxa"/>
            <w:tcMar>
              <w:left w:w="57" w:type="dxa"/>
              <w:right w:w="57" w:type="dxa"/>
            </w:tcMar>
            <w:vAlign w:val="center"/>
          </w:tcPr>
          <w:p w14:paraId="58CC4AC8">
            <w:pPr>
              <w:snapToGrid w:val="0"/>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网络安全方案</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0-6分）</w:t>
            </w:r>
          </w:p>
        </w:tc>
        <w:tc>
          <w:tcPr>
            <w:tcW w:w="5936" w:type="dxa"/>
            <w:tcMar>
              <w:left w:w="57" w:type="dxa"/>
              <w:right w:w="57" w:type="dxa"/>
            </w:tcMar>
            <w:vAlign w:val="center"/>
          </w:tcPr>
          <w:p w14:paraId="1DE89A59">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根据</w:t>
            </w:r>
            <w:r>
              <w:rPr>
                <w:rFonts w:hint="eastAsia" w:ascii="宋体" w:hAnsi="宋体" w:eastAsia="宋体" w:cs="宋体"/>
                <w:color w:val="auto"/>
                <w:kern w:val="0"/>
                <w:sz w:val="24"/>
                <w:highlight w:val="none"/>
                <w:lang w:eastAsia="zh-CN"/>
              </w:rPr>
              <w:t>投标人</w:t>
            </w:r>
            <w:r>
              <w:rPr>
                <w:rFonts w:hint="eastAsia" w:ascii="宋体" w:hAnsi="宋体" w:eastAsia="宋体" w:cs="宋体"/>
                <w:color w:val="auto"/>
                <w:kern w:val="0"/>
                <w:sz w:val="24"/>
                <w:highlight w:val="none"/>
              </w:rPr>
              <w:t>针对本项目日常服务网络安全方案（包括但不限于网络部署安全、数据安全、应用安全、日常安全管理等）进行综合打分：</w:t>
            </w:r>
          </w:p>
          <w:p w14:paraId="72E990DA">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方案详细、合理、安全、可靠、周全的得</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分；</w:t>
            </w:r>
          </w:p>
          <w:p w14:paraId="1F859442">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方案基本详细、合理、安全、可靠、周全的得</w:t>
            </w: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rPr>
              <w:t>分；</w:t>
            </w:r>
          </w:p>
          <w:p w14:paraId="18082E23">
            <w:pPr>
              <w:spacing w:line="360" w:lineRule="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未提供得0分。</w:t>
            </w:r>
          </w:p>
        </w:tc>
      </w:tr>
      <w:tr w14:paraId="65C8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42" w:type="dxa"/>
            <w:vMerge w:val="continue"/>
            <w:tcMar>
              <w:left w:w="57" w:type="dxa"/>
              <w:right w:w="57" w:type="dxa"/>
            </w:tcMar>
            <w:vAlign w:val="center"/>
          </w:tcPr>
          <w:p w14:paraId="79F760A8">
            <w:pPr>
              <w:pStyle w:val="39"/>
              <w:spacing w:before="0" w:beforeAutospacing="0" w:after="0" w:afterAutospacing="0" w:line="360" w:lineRule="auto"/>
              <w:jc w:val="center"/>
              <w:rPr>
                <w:rFonts w:hint="eastAsia" w:ascii="宋体" w:hAnsi="宋体" w:eastAsia="宋体" w:cs="宋体"/>
                <w:color w:val="auto"/>
                <w:highlight w:val="none"/>
              </w:rPr>
            </w:pPr>
          </w:p>
        </w:tc>
        <w:tc>
          <w:tcPr>
            <w:tcW w:w="1157" w:type="dxa"/>
            <w:vMerge w:val="continue"/>
            <w:tcMar>
              <w:left w:w="57" w:type="dxa"/>
              <w:right w:w="57" w:type="dxa"/>
            </w:tcMar>
            <w:vAlign w:val="center"/>
          </w:tcPr>
          <w:p w14:paraId="7040BCD2">
            <w:pPr>
              <w:pStyle w:val="39"/>
              <w:spacing w:before="0" w:beforeAutospacing="0" w:after="0" w:afterAutospacing="0" w:line="360" w:lineRule="auto"/>
              <w:jc w:val="center"/>
              <w:rPr>
                <w:rFonts w:hint="eastAsia" w:ascii="宋体" w:hAnsi="宋体" w:eastAsia="宋体" w:cs="宋体"/>
                <w:color w:val="auto"/>
                <w:highlight w:val="none"/>
              </w:rPr>
            </w:pPr>
          </w:p>
        </w:tc>
        <w:tc>
          <w:tcPr>
            <w:tcW w:w="1523" w:type="dxa"/>
            <w:shd w:val="clear" w:color="auto" w:fill="auto"/>
            <w:tcMar>
              <w:left w:w="57" w:type="dxa"/>
              <w:right w:w="57" w:type="dxa"/>
            </w:tcMar>
            <w:vAlign w:val="center"/>
          </w:tcPr>
          <w:p w14:paraId="5F385513">
            <w:pPr>
              <w:autoSpaceDE w:val="0"/>
              <w:autoSpaceDN w:val="0"/>
              <w:adjustRightInd w:val="0"/>
              <w:snapToGrid w:val="0"/>
              <w:spacing w:line="360" w:lineRule="auto"/>
              <w:ind w:left="-1" w:leftChars="-5" w:right="97" w:rightChars="0" w:hanging="9" w:hangingChars="4"/>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pacing w:val="1"/>
                <w:kern w:val="0"/>
                <w:sz w:val="24"/>
                <w:szCs w:val="24"/>
                <w:highlight w:val="none"/>
              </w:rPr>
              <w:t>培训</w:t>
            </w:r>
            <w:r>
              <w:rPr>
                <w:rFonts w:hint="eastAsia" w:ascii="宋体" w:hAnsi="宋体" w:eastAsia="宋体" w:cs="宋体"/>
                <w:color w:val="auto"/>
                <w:kern w:val="2"/>
                <w:sz w:val="24"/>
                <w:szCs w:val="24"/>
                <w:highlight w:val="none"/>
                <w:lang w:val="en-US" w:eastAsia="zh-CN" w:bidi="ar-SA"/>
              </w:rPr>
              <w:t>指导</w:t>
            </w:r>
            <w:r>
              <w:rPr>
                <w:rFonts w:hint="eastAsia" w:ascii="宋体" w:hAnsi="宋体" w:cs="宋体"/>
                <w:color w:val="auto"/>
                <w:spacing w:val="1"/>
                <w:kern w:val="0"/>
                <w:sz w:val="24"/>
                <w:szCs w:val="24"/>
                <w:highlight w:val="none"/>
              </w:rPr>
              <w:t>方案（</w:t>
            </w:r>
            <w:r>
              <w:rPr>
                <w:rFonts w:hint="eastAsia" w:ascii="宋体" w:hAnsi="宋体" w:cs="宋体"/>
                <w:color w:val="auto"/>
                <w:spacing w:val="1"/>
                <w:kern w:val="0"/>
                <w:sz w:val="24"/>
                <w:szCs w:val="24"/>
                <w:highlight w:val="none"/>
                <w:lang w:val="en-US" w:eastAsia="zh-CN"/>
              </w:rPr>
              <w:t>0-6</w:t>
            </w:r>
            <w:r>
              <w:rPr>
                <w:rFonts w:hint="eastAsia" w:ascii="宋体" w:hAnsi="宋体" w:cs="宋体"/>
                <w:color w:val="auto"/>
                <w:spacing w:val="1"/>
                <w:kern w:val="0"/>
                <w:sz w:val="24"/>
                <w:szCs w:val="24"/>
                <w:highlight w:val="none"/>
              </w:rPr>
              <w:t>分）</w:t>
            </w:r>
          </w:p>
        </w:tc>
        <w:tc>
          <w:tcPr>
            <w:tcW w:w="5936" w:type="dxa"/>
            <w:shd w:val="clear" w:color="auto" w:fill="auto"/>
            <w:tcMar>
              <w:left w:w="57" w:type="dxa"/>
              <w:right w:w="57" w:type="dxa"/>
            </w:tcMar>
            <w:vAlign w:val="center"/>
          </w:tcPr>
          <w:p w14:paraId="55B78C09">
            <w:pPr>
              <w:numPr>
                <w:ilvl w:val="0"/>
                <w:numId w:val="0"/>
              </w:numPr>
              <w:spacing w:line="440" w:lineRule="exact"/>
              <w:jc w:val="left"/>
              <w:rPr>
                <w:rFonts w:hint="eastAsia" w:ascii="宋体" w:hAnsi="宋体" w:cs="宋体"/>
                <w:b/>
                <w:bCs/>
                <w:color w:val="auto"/>
                <w:szCs w:val="21"/>
                <w:highlight w:val="none"/>
                <w:lang w:val="zh-CN"/>
              </w:rPr>
            </w:pPr>
            <w:r>
              <w:rPr>
                <w:rFonts w:hint="eastAsia" w:ascii="宋体" w:hAnsi="宋体" w:eastAsia="宋体" w:cs="宋体"/>
                <w:color w:val="auto"/>
                <w:kern w:val="2"/>
                <w:sz w:val="24"/>
                <w:szCs w:val="24"/>
                <w:highlight w:val="none"/>
                <w:lang w:val="en-US" w:eastAsia="zh-CN" w:bidi="ar-SA"/>
              </w:rPr>
              <w:t>根据投标人</w:t>
            </w:r>
            <w:r>
              <w:rPr>
                <w:rFonts w:hint="eastAsia" w:ascii="宋体" w:hAnsi="宋体" w:cs="宋体"/>
                <w:color w:val="auto"/>
                <w:kern w:val="2"/>
                <w:sz w:val="24"/>
                <w:szCs w:val="24"/>
                <w:highlight w:val="none"/>
                <w:lang w:val="en-US" w:eastAsia="zh-CN" w:bidi="ar-SA"/>
              </w:rPr>
              <w:t>提供</w:t>
            </w:r>
            <w:r>
              <w:rPr>
                <w:rFonts w:hint="eastAsia" w:ascii="宋体" w:hAnsi="宋体" w:eastAsia="宋体" w:cs="宋体"/>
                <w:color w:val="auto"/>
                <w:kern w:val="2"/>
                <w:sz w:val="24"/>
                <w:szCs w:val="24"/>
                <w:highlight w:val="none"/>
                <w:lang w:val="en-US" w:eastAsia="zh-CN" w:bidi="ar-SA"/>
              </w:rPr>
              <w:t>的用户培训指导方案详尽程度及相关承诺，综合对比所有投标人的方案，</w:t>
            </w:r>
          </w:p>
          <w:p w14:paraId="0F3AE11E">
            <w:pPr>
              <w:numPr>
                <w:ilvl w:val="0"/>
                <w:numId w:val="0"/>
              </w:numPr>
              <w:spacing w:line="440" w:lineRule="exact"/>
              <w:jc w:val="left"/>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Hans" w:bidi="ar-SA"/>
              </w:rPr>
              <w:t>投标人提供</w:t>
            </w:r>
            <w:r>
              <w:rPr>
                <w:rFonts w:hint="eastAsia" w:ascii="宋体" w:hAnsi="宋体" w:eastAsia="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zh-CN" w:eastAsia="zh-CN" w:bidi="ar-SA"/>
              </w:rPr>
              <w:t>培训计划、技术指导</w:t>
            </w:r>
            <w:r>
              <w:rPr>
                <w:rFonts w:hint="eastAsia" w:ascii="宋体" w:hAnsi="宋体" w:eastAsia="宋体" w:cs="宋体"/>
                <w:color w:val="auto"/>
                <w:kern w:val="2"/>
                <w:sz w:val="24"/>
                <w:szCs w:val="24"/>
                <w:highlight w:val="none"/>
                <w:lang w:val="en-US" w:eastAsia="zh-CN" w:bidi="ar-SA"/>
              </w:rPr>
              <w:t>方案全面</w:t>
            </w:r>
            <w:r>
              <w:rPr>
                <w:rFonts w:hint="eastAsia" w:ascii="宋体" w:hAnsi="宋体" w:eastAsia="宋体" w:cs="宋体"/>
                <w:color w:val="auto"/>
                <w:kern w:val="2"/>
                <w:sz w:val="24"/>
                <w:szCs w:val="24"/>
                <w:highlight w:val="none"/>
                <w:lang w:val="en-US" w:eastAsia="zh-Hans" w:bidi="ar-SA"/>
              </w:rPr>
              <w:t>、针对性</w:t>
            </w:r>
            <w:r>
              <w:rPr>
                <w:rFonts w:hint="eastAsia" w:ascii="宋体" w:hAnsi="宋体" w:eastAsia="宋体" w:cs="宋体"/>
                <w:color w:val="auto"/>
                <w:kern w:val="2"/>
                <w:sz w:val="24"/>
                <w:szCs w:val="24"/>
                <w:highlight w:val="none"/>
                <w:lang w:val="en-US" w:eastAsia="zh-CN" w:bidi="ar-SA"/>
              </w:rPr>
              <w:t>强的，</w:t>
            </w:r>
            <w:r>
              <w:rPr>
                <w:rFonts w:hint="eastAsia" w:ascii="宋体" w:hAnsi="宋体" w:eastAsia="宋体" w:cs="宋体"/>
                <w:color w:val="auto"/>
                <w:kern w:val="2"/>
                <w:sz w:val="24"/>
                <w:szCs w:val="24"/>
                <w:highlight w:val="none"/>
                <w:lang w:val="en-US" w:eastAsia="zh-Hans" w:bidi="ar-SA"/>
              </w:rPr>
              <w:t>得</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Hans" w:bidi="ar-SA"/>
              </w:rPr>
              <w:t>分；</w:t>
            </w:r>
          </w:p>
          <w:p w14:paraId="3916EE87">
            <w:pPr>
              <w:numPr>
                <w:ilvl w:val="0"/>
                <w:numId w:val="0"/>
              </w:numPr>
              <w:spacing w:line="440" w:lineRule="exact"/>
              <w:jc w:val="left"/>
              <w:rPr>
                <w:rFonts w:hint="eastAsia" w:ascii="宋体" w:hAnsi="宋体" w:eastAsia="宋体" w:cs="宋体"/>
                <w:color w:val="auto"/>
                <w:kern w:val="2"/>
                <w:sz w:val="24"/>
                <w:szCs w:val="24"/>
                <w:highlight w:val="none"/>
                <w:lang w:val="en-US" w:eastAsia="zh-Hans"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Hans" w:bidi="ar-SA"/>
              </w:rPr>
              <w:t>投标人提供</w:t>
            </w:r>
            <w:r>
              <w:rPr>
                <w:rFonts w:hint="eastAsia" w:ascii="宋体" w:hAnsi="宋体" w:eastAsia="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zh-CN" w:eastAsia="zh-CN" w:bidi="ar-SA"/>
              </w:rPr>
              <w:t>培训计划、技术指导</w:t>
            </w:r>
            <w:r>
              <w:rPr>
                <w:rFonts w:hint="eastAsia" w:ascii="宋体" w:hAnsi="宋体" w:eastAsia="宋体" w:cs="宋体"/>
                <w:color w:val="auto"/>
                <w:kern w:val="2"/>
                <w:sz w:val="24"/>
                <w:szCs w:val="24"/>
                <w:highlight w:val="none"/>
                <w:lang w:val="en-US" w:eastAsia="zh-CN" w:bidi="ar-SA"/>
              </w:rPr>
              <w:t>方案较全面</w:t>
            </w:r>
            <w:r>
              <w:rPr>
                <w:rFonts w:hint="eastAsia" w:ascii="宋体" w:hAnsi="宋体" w:eastAsia="宋体" w:cs="宋体"/>
                <w:color w:val="auto"/>
                <w:kern w:val="2"/>
                <w:sz w:val="24"/>
                <w:szCs w:val="24"/>
                <w:highlight w:val="none"/>
                <w:lang w:val="en-US" w:eastAsia="zh-Hans" w:bidi="ar-SA"/>
              </w:rPr>
              <w:t>、基本可行，较具有针对性的</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Hans" w:bidi="ar-SA"/>
              </w:rPr>
              <w:t>得</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Hans" w:bidi="ar-SA"/>
              </w:rPr>
              <w:t>分；</w:t>
            </w:r>
          </w:p>
          <w:p w14:paraId="32B2CA20">
            <w:pPr>
              <w:numPr>
                <w:ilvl w:val="0"/>
                <w:numId w:val="0"/>
              </w:numPr>
              <w:spacing w:line="440" w:lineRule="exact"/>
              <w:ind w:left="0" w:leftChars="0" w:firstLine="0" w:firstLine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Hans" w:bidi="ar-SA"/>
              </w:rPr>
              <w:t>未提供的不得分。</w:t>
            </w:r>
          </w:p>
        </w:tc>
      </w:tr>
      <w:tr w14:paraId="728D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842" w:type="dxa"/>
            <w:vMerge w:val="restart"/>
            <w:tcMar>
              <w:left w:w="57" w:type="dxa"/>
              <w:right w:w="57" w:type="dxa"/>
            </w:tcMar>
            <w:vAlign w:val="center"/>
          </w:tcPr>
          <w:p w14:paraId="0B7B5AA0">
            <w:pPr>
              <w:pStyle w:val="39"/>
              <w:spacing w:before="0" w:beforeAutospacing="0" w:after="0" w:afterAutospacing="0" w:line="360" w:lineRule="auto"/>
              <w:jc w:val="center"/>
              <w:rPr>
                <w:rFonts w:hint="eastAsia" w:ascii="宋体" w:hAnsi="宋体" w:eastAsia="宋体" w:cs="宋体"/>
                <w:color w:val="auto"/>
                <w:highlight w:val="none"/>
              </w:rPr>
            </w:pPr>
          </w:p>
          <w:p w14:paraId="380A64D6">
            <w:pPr>
              <w:pStyle w:val="39"/>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2.2.</w:t>
            </w:r>
            <w:r>
              <w:rPr>
                <w:rFonts w:hint="eastAsia" w:cs="宋体"/>
                <w:color w:val="auto"/>
                <w:highlight w:val="none"/>
                <w:lang w:val="en-US" w:eastAsia="zh-CN"/>
              </w:rPr>
              <w:t>2</w:t>
            </w:r>
            <w:r>
              <w:rPr>
                <w:rFonts w:hint="eastAsia" w:ascii="宋体" w:hAnsi="宋体" w:eastAsia="宋体" w:cs="宋体"/>
                <w:color w:val="auto"/>
                <w:highlight w:val="none"/>
              </w:rPr>
              <w:br w:type="textWrapping"/>
            </w:r>
            <w:r>
              <w:rPr>
                <w:rFonts w:hint="eastAsia" w:ascii="宋体" w:hAnsi="宋体" w:eastAsia="宋体" w:cs="宋体"/>
                <w:color w:val="auto"/>
                <w:highlight w:val="none"/>
              </w:rPr>
              <w:t>(</w:t>
            </w:r>
            <w:r>
              <w:rPr>
                <w:rFonts w:hint="eastAsia" w:cs="宋体"/>
                <w:color w:val="auto"/>
                <w:highlight w:val="none"/>
                <w:lang w:val="en-US" w:eastAsia="zh-CN"/>
              </w:rPr>
              <w:t>3</w:t>
            </w:r>
            <w:r>
              <w:rPr>
                <w:rFonts w:hint="eastAsia" w:ascii="宋体" w:hAnsi="宋体" w:eastAsia="宋体" w:cs="宋体"/>
                <w:color w:val="auto"/>
                <w:highlight w:val="none"/>
              </w:rPr>
              <w:t>)</w:t>
            </w:r>
          </w:p>
          <w:p w14:paraId="09E9AA96">
            <w:pPr>
              <w:snapToGrid w:val="0"/>
              <w:spacing w:line="480" w:lineRule="exact"/>
              <w:jc w:val="center"/>
              <w:rPr>
                <w:rFonts w:hint="eastAsia" w:ascii="宋体" w:hAnsi="宋体" w:eastAsia="宋体" w:cs="宋体"/>
                <w:color w:val="auto"/>
                <w:highlight w:val="none"/>
              </w:rPr>
            </w:pPr>
          </w:p>
        </w:tc>
        <w:tc>
          <w:tcPr>
            <w:tcW w:w="1157" w:type="dxa"/>
            <w:vMerge w:val="restart"/>
            <w:tcMar>
              <w:left w:w="57" w:type="dxa"/>
              <w:right w:w="57" w:type="dxa"/>
            </w:tcMar>
            <w:vAlign w:val="center"/>
          </w:tcPr>
          <w:p w14:paraId="7748AE8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综合</w:t>
            </w:r>
          </w:p>
          <w:p w14:paraId="461FC8BD">
            <w:pPr>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highlight w:val="none"/>
              </w:rPr>
              <w:t>评分标准（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tc>
        <w:tc>
          <w:tcPr>
            <w:tcW w:w="1523" w:type="dxa"/>
            <w:tcMar>
              <w:left w:w="57" w:type="dxa"/>
              <w:right w:w="57" w:type="dxa"/>
            </w:tcMar>
            <w:vAlign w:val="center"/>
          </w:tcPr>
          <w:p w14:paraId="122F8286">
            <w:pPr>
              <w:autoSpaceDE w:val="0"/>
              <w:autoSpaceDN w:val="0"/>
              <w:adjustRightInd w:val="0"/>
              <w:snapToGrid w:val="0"/>
              <w:spacing w:line="360" w:lineRule="auto"/>
              <w:ind w:leftChars="-5" w:right="97" w:hanging="9" w:hangingChars="4"/>
              <w:jc w:val="center"/>
              <w:rPr>
                <w:rFonts w:hint="eastAsia" w:ascii="宋体" w:hAnsi="宋体" w:cs="宋体"/>
                <w:color w:val="auto"/>
                <w:spacing w:val="1"/>
                <w:kern w:val="0"/>
                <w:sz w:val="24"/>
                <w:szCs w:val="24"/>
                <w:highlight w:val="none"/>
              </w:rPr>
            </w:pPr>
            <w:r>
              <w:rPr>
                <w:rFonts w:hint="eastAsia" w:ascii="宋体" w:hAnsi="宋体" w:cs="宋体"/>
                <w:color w:val="auto"/>
                <w:spacing w:val="1"/>
                <w:kern w:val="0"/>
                <w:sz w:val="24"/>
                <w:szCs w:val="24"/>
                <w:highlight w:val="none"/>
              </w:rPr>
              <w:t>企业业绩</w:t>
            </w:r>
          </w:p>
          <w:p w14:paraId="4455B7A4">
            <w:pPr>
              <w:autoSpaceDE w:val="0"/>
              <w:autoSpaceDN w:val="0"/>
              <w:adjustRightInd w:val="0"/>
              <w:snapToGrid w:val="0"/>
              <w:spacing w:line="360" w:lineRule="auto"/>
              <w:ind w:left="-1" w:leftChars="-5" w:right="97" w:rightChars="0" w:hanging="9" w:hangingChars="4"/>
              <w:jc w:val="center"/>
              <w:rPr>
                <w:rFonts w:hint="eastAsia" w:ascii="宋体" w:hAnsi="宋体" w:eastAsia="宋体" w:cs="宋体"/>
                <w:color w:val="auto"/>
                <w:highlight w:val="none"/>
              </w:rPr>
            </w:pPr>
            <w:r>
              <w:rPr>
                <w:rFonts w:hint="eastAsia" w:ascii="宋体" w:hAnsi="宋体" w:cs="宋体"/>
                <w:color w:val="auto"/>
                <w:spacing w:val="1"/>
                <w:kern w:val="0"/>
                <w:sz w:val="24"/>
                <w:szCs w:val="24"/>
                <w:highlight w:val="none"/>
              </w:rPr>
              <w:t>（</w:t>
            </w:r>
            <w:r>
              <w:rPr>
                <w:rFonts w:hint="eastAsia" w:ascii="宋体" w:hAnsi="宋体" w:cs="宋体"/>
                <w:color w:val="auto"/>
                <w:spacing w:val="1"/>
                <w:kern w:val="0"/>
                <w:sz w:val="24"/>
                <w:szCs w:val="24"/>
                <w:highlight w:val="none"/>
                <w:lang w:val="en-US" w:eastAsia="zh-CN"/>
              </w:rPr>
              <w:t>0-4</w:t>
            </w:r>
            <w:r>
              <w:rPr>
                <w:rFonts w:hint="eastAsia" w:ascii="宋体" w:hAnsi="宋体" w:cs="宋体"/>
                <w:color w:val="auto"/>
                <w:spacing w:val="1"/>
                <w:kern w:val="0"/>
                <w:sz w:val="24"/>
                <w:szCs w:val="24"/>
                <w:highlight w:val="none"/>
              </w:rPr>
              <w:t>分）</w:t>
            </w:r>
          </w:p>
        </w:tc>
        <w:tc>
          <w:tcPr>
            <w:tcW w:w="5936" w:type="dxa"/>
            <w:tcMar>
              <w:left w:w="57" w:type="dxa"/>
              <w:right w:w="57" w:type="dxa"/>
            </w:tcMar>
            <w:vAlign w:val="center"/>
          </w:tcPr>
          <w:p w14:paraId="28AFBD28">
            <w:p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自</w:t>
            </w:r>
            <w:r>
              <w:rPr>
                <w:rFonts w:hint="eastAsia" w:ascii="宋体" w:hAnsi="宋体" w:eastAsia="宋体" w:cs="宋体"/>
                <w:color w:val="auto"/>
                <w:kern w:val="2"/>
                <w:sz w:val="24"/>
                <w:szCs w:val="24"/>
                <w:highlight w:val="none"/>
                <w:lang w:val="en-US" w:eastAsia="zh-CN" w:bidi="ar-SA"/>
              </w:rPr>
              <w:t>202</w:t>
            </w: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年以来有类似项目业绩的，</w:t>
            </w:r>
            <w:r>
              <w:rPr>
                <w:rFonts w:hint="eastAsia" w:ascii="宋体" w:hAnsi="宋体" w:cs="宋体"/>
                <w:color w:val="auto"/>
                <w:sz w:val="24"/>
                <w:highlight w:val="none"/>
              </w:rPr>
              <w:t>每提供一</w:t>
            </w:r>
            <w:r>
              <w:rPr>
                <w:rFonts w:hint="eastAsia" w:ascii="宋体" w:hAnsi="宋体" w:cs="宋体"/>
                <w:color w:val="auto"/>
                <w:sz w:val="24"/>
                <w:highlight w:val="none"/>
                <w:lang w:eastAsia="zh-CN"/>
              </w:rPr>
              <w:t>份</w:t>
            </w:r>
            <w:r>
              <w:rPr>
                <w:rFonts w:hint="eastAsia" w:ascii="宋体" w:hAnsi="宋体" w:cs="宋体"/>
                <w:b w:val="0"/>
                <w:bCs w:val="0"/>
                <w:color w:val="auto"/>
                <w:sz w:val="24"/>
                <w:highlight w:val="none"/>
              </w:rPr>
              <w:t>得</w:t>
            </w:r>
            <w:r>
              <w:rPr>
                <w:rFonts w:hint="eastAsia" w:ascii="宋体" w:hAnsi="宋体" w:cs="宋体"/>
                <w:b w:val="0"/>
                <w:bCs w:val="0"/>
                <w:color w:val="auto"/>
                <w:sz w:val="24"/>
                <w:highlight w:val="none"/>
                <w:lang w:val="en-US" w:eastAsia="zh-CN"/>
              </w:rPr>
              <w:t>2</w:t>
            </w:r>
            <w:r>
              <w:rPr>
                <w:rFonts w:hint="eastAsia" w:ascii="宋体" w:hAnsi="宋体" w:cs="宋体"/>
                <w:b w:val="0"/>
                <w:bCs w:val="0"/>
                <w:color w:val="auto"/>
                <w:sz w:val="24"/>
                <w:highlight w:val="none"/>
              </w:rPr>
              <w:t>分，</w:t>
            </w:r>
            <w:r>
              <w:rPr>
                <w:rFonts w:hint="eastAsia" w:ascii="宋体" w:hAnsi="宋体" w:eastAsia="宋体" w:cs="宋体"/>
                <w:color w:val="auto"/>
                <w:kern w:val="2"/>
                <w:sz w:val="24"/>
                <w:szCs w:val="24"/>
                <w:highlight w:val="none"/>
                <w:lang w:val="en-US" w:eastAsia="zh-CN" w:bidi="ar-SA"/>
              </w:rPr>
              <w:t>本项</w:t>
            </w:r>
            <w:r>
              <w:rPr>
                <w:rFonts w:hint="eastAsia" w:ascii="宋体" w:hAnsi="宋体" w:cs="宋体"/>
                <w:b w:val="0"/>
                <w:bCs w:val="0"/>
                <w:color w:val="auto"/>
                <w:sz w:val="24"/>
                <w:highlight w:val="none"/>
              </w:rPr>
              <w:t>最多得</w:t>
            </w:r>
            <w:r>
              <w:rPr>
                <w:rFonts w:hint="eastAsia" w:ascii="宋体" w:hAnsi="宋体" w:cs="宋体"/>
                <w:b w:val="0"/>
                <w:bCs w:val="0"/>
                <w:color w:val="auto"/>
                <w:sz w:val="24"/>
                <w:highlight w:val="none"/>
                <w:lang w:val="en-US" w:eastAsia="zh-CN"/>
              </w:rPr>
              <w:t>4</w:t>
            </w:r>
            <w:r>
              <w:rPr>
                <w:rFonts w:hint="eastAsia" w:ascii="宋体" w:hAnsi="宋体" w:cs="宋体"/>
                <w:b w:val="0"/>
                <w:bCs w:val="0"/>
                <w:color w:val="auto"/>
                <w:sz w:val="24"/>
                <w:highlight w:val="none"/>
              </w:rPr>
              <w:t>分</w:t>
            </w:r>
            <w:r>
              <w:rPr>
                <w:rFonts w:hint="eastAsia" w:ascii="宋体" w:hAnsi="宋体" w:eastAsia="宋体"/>
                <w:color w:val="auto"/>
                <w:spacing w:val="1"/>
                <w:sz w:val="24"/>
                <w:highlight w:val="none"/>
                <w:lang w:eastAsia="zh-CN"/>
              </w:rPr>
              <w:t>；</w:t>
            </w:r>
            <w:r>
              <w:rPr>
                <w:rFonts w:hint="eastAsia" w:ascii="宋体" w:hAnsi="宋体" w:eastAsia="宋体"/>
                <w:b/>
                <w:bCs/>
                <w:color w:val="auto"/>
                <w:spacing w:val="1"/>
                <w:sz w:val="24"/>
                <w:highlight w:val="none"/>
                <w:lang w:eastAsia="zh-CN"/>
              </w:rPr>
              <w:t>以中标通知书或合同协议书签订日期为准，</w:t>
            </w:r>
            <w:r>
              <w:rPr>
                <w:rFonts w:hint="eastAsia" w:ascii="宋体" w:hAnsi="宋体" w:eastAsia="宋体"/>
                <w:b/>
                <w:bCs/>
                <w:color w:val="auto"/>
                <w:spacing w:val="1"/>
                <w:sz w:val="24"/>
                <w:highlight w:val="none"/>
                <w:lang w:val="en-US" w:eastAsia="zh-CN"/>
              </w:rPr>
              <w:t>投标文件中需附</w:t>
            </w:r>
            <w:r>
              <w:rPr>
                <w:rFonts w:hint="eastAsia" w:ascii="宋体" w:hAnsi="宋体" w:eastAsia="宋体"/>
                <w:b/>
                <w:bCs/>
                <w:color w:val="auto"/>
                <w:spacing w:val="1"/>
                <w:sz w:val="24"/>
                <w:highlight w:val="none"/>
                <w:lang w:eastAsia="zh-CN"/>
              </w:rPr>
              <w:t>加盖公章的中标通知书或合同协议书的原件扫描件</w:t>
            </w:r>
            <w:r>
              <w:rPr>
                <w:rFonts w:hint="eastAsia" w:ascii="宋体" w:hAnsi="宋体" w:cs="宋体"/>
                <w:b/>
                <w:bCs/>
                <w:color w:val="auto"/>
                <w:sz w:val="24"/>
                <w:highlight w:val="none"/>
              </w:rPr>
              <w:t>，否则不得分</w:t>
            </w:r>
            <w:r>
              <w:rPr>
                <w:rFonts w:hint="eastAsia" w:ascii="宋体" w:hAnsi="宋体" w:cs="宋体"/>
                <w:b/>
                <w:bCs/>
                <w:color w:val="auto"/>
                <w:sz w:val="24"/>
                <w:highlight w:val="none"/>
                <w:lang w:eastAsia="zh-CN"/>
              </w:rPr>
              <w:t>。</w:t>
            </w:r>
          </w:p>
        </w:tc>
      </w:tr>
      <w:tr w14:paraId="523A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42" w:type="dxa"/>
            <w:vMerge w:val="continue"/>
            <w:tcMar>
              <w:left w:w="57" w:type="dxa"/>
              <w:right w:w="57" w:type="dxa"/>
            </w:tcMar>
            <w:vAlign w:val="center"/>
          </w:tcPr>
          <w:p w14:paraId="3697B3F4">
            <w:pPr>
              <w:pStyle w:val="39"/>
              <w:spacing w:before="0" w:beforeAutospacing="0" w:after="0" w:afterAutospacing="0" w:line="360" w:lineRule="auto"/>
              <w:jc w:val="center"/>
              <w:rPr>
                <w:rFonts w:hint="eastAsia" w:ascii="宋体" w:hAnsi="宋体" w:eastAsia="宋体" w:cs="宋体"/>
                <w:color w:val="auto"/>
                <w:highlight w:val="none"/>
              </w:rPr>
            </w:pPr>
          </w:p>
        </w:tc>
        <w:tc>
          <w:tcPr>
            <w:tcW w:w="1157" w:type="dxa"/>
            <w:vMerge w:val="continue"/>
            <w:tcMar>
              <w:left w:w="57" w:type="dxa"/>
              <w:right w:w="57" w:type="dxa"/>
            </w:tcMar>
            <w:vAlign w:val="center"/>
          </w:tcPr>
          <w:p w14:paraId="5027D97C">
            <w:pPr>
              <w:spacing w:line="360" w:lineRule="auto"/>
              <w:jc w:val="center"/>
              <w:rPr>
                <w:rFonts w:hint="eastAsia" w:ascii="宋体" w:hAnsi="宋体" w:eastAsia="宋体" w:cs="宋体"/>
                <w:color w:val="auto"/>
                <w:sz w:val="24"/>
                <w:highlight w:val="none"/>
              </w:rPr>
            </w:pPr>
          </w:p>
        </w:tc>
        <w:tc>
          <w:tcPr>
            <w:tcW w:w="1523" w:type="dxa"/>
            <w:tcMar>
              <w:left w:w="57" w:type="dxa"/>
              <w:right w:w="57" w:type="dxa"/>
            </w:tcMar>
            <w:vAlign w:val="center"/>
          </w:tcPr>
          <w:p w14:paraId="5BA94AC2">
            <w:pPr>
              <w:autoSpaceDE w:val="0"/>
              <w:autoSpaceDN w:val="0"/>
              <w:adjustRightInd w:val="0"/>
              <w:snapToGrid w:val="0"/>
              <w:spacing w:line="360" w:lineRule="auto"/>
              <w:ind w:leftChars="-5" w:right="97" w:hanging="9" w:hangingChars="4"/>
              <w:jc w:val="center"/>
              <w:rPr>
                <w:rFonts w:hint="eastAsia" w:ascii="宋体" w:hAnsi="宋体" w:cs="宋体"/>
                <w:color w:val="auto"/>
                <w:spacing w:val="1"/>
                <w:kern w:val="0"/>
                <w:sz w:val="24"/>
                <w:szCs w:val="24"/>
                <w:highlight w:val="none"/>
              </w:rPr>
            </w:pPr>
            <w:r>
              <w:rPr>
                <w:rFonts w:hint="eastAsia" w:ascii="宋体" w:hAnsi="宋体" w:cs="宋体"/>
                <w:color w:val="auto"/>
                <w:spacing w:val="1"/>
                <w:kern w:val="0"/>
                <w:sz w:val="24"/>
                <w:szCs w:val="24"/>
                <w:highlight w:val="none"/>
              </w:rPr>
              <w:t>企业实力</w:t>
            </w:r>
          </w:p>
          <w:p w14:paraId="00C578E6">
            <w:pPr>
              <w:autoSpaceDE w:val="0"/>
              <w:autoSpaceDN w:val="0"/>
              <w:adjustRightInd w:val="0"/>
              <w:snapToGrid w:val="0"/>
              <w:spacing w:line="360" w:lineRule="auto"/>
              <w:ind w:left="-1" w:leftChars="-5" w:right="97" w:rightChars="0" w:hanging="9" w:hangingChars="4"/>
              <w:jc w:val="center"/>
              <w:rPr>
                <w:rFonts w:hint="eastAsia" w:ascii="宋体" w:hAnsi="宋体" w:eastAsia="宋体" w:cs="宋体"/>
                <w:color w:val="auto"/>
                <w:sz w:val="24"/>
                <w:highlight w:val="none"/>
              </w:rPr>
            </w:pPr>
            <w:r>
              <w:rPr>
                <w:rFonts w:hint="eastAsia" w:ascii="宋体" w:hAnsi="宋体" w:cs="宋体"/>
                <w:color w:val="auto"/>
                <w:spacing w:val="1"/>
                <w:kern w:val="0"/>
                <w:sz w:val="24"/>
                <w:szCs w:val="24"/>
                <w:highlight w:val="none"/>
              </w:rPr>
              <w:t>（</w:t>
            </w:r>
            <w:r>
              <w:rPr>
                <w:rFonts w:hint="eastAsia" w:ascii="宋体" w:hAnsi="宋体" w:cs="宋体"/>
                <w:color w:val="auto"/>
                <w:spacing w:val="1"/>
                <w:kern w:val="0"/>
                <w:sz w:val="24"/>
                <w:szCs w:val="24"/>
                <w:highlight w:val="none"/>
                <w:lang w:val="en-US" w:eastAsia="zh-CN"/>
              </w:rPr>
              <w:t>0-4</w:t>
            </w:r>
            <w:r>
              <w:rPr>
                <w:rFonts w:hint="eastAsia" w:ascii="宋体" w:hAnsi="宋体" w:cs="宋体"/>
                <w:color w:val="auto"/>
                <w:spacing w:val="1"/>
                <w:kern w:val="0"/>
                <w:sz w:val="24"/>
                <w:szCs w:val="24"/>
                <w:highlight w:val="none"/>
              </w:rPr>
              <w:t>分）</w:t>
            </w:r>
          </w:p>
        </w:tc>
        <w:tc>
          <w:tcPr>
            <w:tcW w:w="5936" w:type="dxa"/>
            <w:tcMar>
              <w:left w:w="57" w:type="dxa"/>
              <w:right w:w="57" w:type="dxa"/>
            </w:tcMar>
            <w:vAlign w:val="center"/>
          </w:tcPr>
          <w:p w14:paraId="60F40E4C">
            <w:pPr>
              <w:snapToGrid w:val="0"/>
              <w:spacing w:line="360" w:lineRule="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供应商提供AAA级信用等级证书的得</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分，AA级信用等级证书的得</w:t>
            </w:r>
            <w:r>
              <w:rPr>
                <w:rFonts w:hint="eastAsia" w:ascii="宋体" w:hAnsi="宋体" w:cs="宋体"/>
                <w:color w:val="auto"/>
                <w:kern w:val="2"/>
                <w:sz w:val="24"/>
                <w:szCs w:val="24"/>
                <w:highlight w:val="none"/>
                <w:lang w:val="en-US" w:eastAsia="zh-CN" w:bidi="ar-SA"/>
              </w:rPr>
              <w:t>0.5</w:t>
            </w:r>
            <w:r>
              <w:rPr>
                <w:rFonts w:hint="eastAsia" w:ascii="宋体" w:hAnsi="宋体" w:eastAsia="宋体" w:cs="宋体"/>
                <w:color w:val="auto"/>
                <w:kern w:val="2"/>
                <w:sz w:val="24"/>
                <w:szCs w:val="24"/>
                <w:highlight w:val="none"/>
                <w:lang w:val="en-US" w:eastAsia="zh-CN" w:bidi="ar-SA"/>
              </w:rPr>
              <w:t>分，不提供不得分。</w:t>
            </w:r>
          </w:p>
          <w:p w14:paraId="4531BB09">
            <w:pPr>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供应商提供</w:t>
            </w:r>
            <w:r>
              <w:rPr>
                <w:rFonts w:hint="eastAsia" w:ascii="宋体" w:hAnsi="宋体" w:cs="宋体"/>
                <w:color w:val="auto"/>
                <w:kern w:val="2"/>
                <w:sz w:val="24"/>
                <w:szCs w:val="24"/>
                <w:highlight w:val="none"/>
                <w:lang w:val="en-US" w:eastAsia="zh-CN" w:bidi="ar-SA"/>
              </w:rPr>
              <w:t>ISO</w:t>
            </w:r>
            <w:r>
              <w:rPr>
                <w:rFonts w:hint="eastAsia" w:ascii="宋体" w:hAnsi="宋体" w:eastAsia="宋体" w:cs="宋体"/>
                <w:color w:val="auto"/>
                <w:kern w:val="2"/>
                <w:sz w:val="24"/>
                <w:szCs w:val="24"/>
                <w:highlight w:val="none"/>
                <w:lang w:val="en-US" w:eastAsia="zh-CN" w:bidi="ar-SA"/>
              </w:rPr>
              <w:t>质量管理体系认证证书，</w:t>
            </w:r>
            <w:r>
              <w:rPr>
                <w:rFonts w:hint="eastAsia" w:ascii="宋体" w:hAnsi="宋体" w:cs="宋体"/>
                <w:color w:val="auto"/>
                <w:kern w:val="2"/>
                <w:sz w:val="24"/>
                <w:szCs w:val="24"/>
                <w:highlight w:val="none"/>
                <w:lang w:val="en-US" w:eastAsia="zh-CN" w:bidi="ar-SA"/>
              </w:rPr>
              <w:t>ISO</w:t>
            </w:r>
            <w:r>
              <w:rPr>
                <w:rFonts w:hint="eastAsia" w:ascii="宋体" w:hAnsi="宋体" w:eastAsia="宋体" w:cs="宋体"/>
                <w:i w:val="0"/>
                <w:iCs w:val="0"/>
                <w:color w:val="auto"/>
                <w:kern w:val="0"/>
                <w:sz w:val="24"/>
                <w:szCs w:val="24"/>
                <w:highlight w:val="none"/>
                <w:u w:val="none"/>
                <w:lang w:val="en-US" w:eastAsia="zh-CN" w:bidi="ar"/>
              </w:rPr>
              <w:t>环境管理体系认证证书、</w:t>
            </w:r>
            <w:r>
              <w:rPr>
                <w:rFonts w:hint="eastAsia" w:ascii="宋体" w:hAnsi="宋体" w:cs="宋体"/>
                <w:color w:val="auto"/>
                <w:kern w:val="2"/>
                <w:sz w:val="24"/>
                <w:szCs w:val="24"/>
                <w:highlight w:val="none"/>
                <w:lang w:val="en-US" w:eastAsia="zh-CN" w:bidi="ar-SA"/>
              </w:rPr>
              <w:t>ISO</w:t>
            </w:r>
            <w:r>
              <w:rPr>
                <w:rFonts w:hint="eastAsia" w:ascii="宋体" w:hAnsi="宋体" w:eastAsia="宋体" w:cs="宋体"/>
                <w:i w:val="0"/>
                <w:iCs w:val="0"/>
                <w:color w:val="auto"/>
                <w:kern w:val="0"/>
                <w:sz w:val="24"/>
                <w:szCs w:val="24"/>
                <w:highlight w:val="none"/>
                <w:u w:val="none"/>
                <w:lang w:val="en-US" w:eastAsia="zh-CN" w:bidi="ar"/>
              </w:rPr>
              <w:t>职业健康安全管理体系认证证书、</w:t>
            </w:r>
            <w:r>
              <w:rPr>
                <w:rFonts w:hint="eastAsia" w:ascii="宋体" w:hAnsi="宋体" w:cs="宋体"/>
                <w:color w:val="auto"/>
                <w:kern w:val="2"/>
                <w:sz w:val="24"/>
                <w:szCs w:val="24"/>
                <w:highlight w:val="none"/>
                <w:lang w:val="en-US" w:eastAsia="zh-CN" w:bidi="ar-SA"/>
              </w:rPr>
              <w:t>ISO</w:t>
            </w:r>
            <w:r>
              <w:rPr>
                <w:rFonts w:hint="eastAsia" w:ascii="宋体" w:hAnsi="宋体" w:eastAsia="宋体" w:cs="宋体"/>
                <w:color w:val="auto"/>
                <w:kern w:val="2"/>
                <w:sz w:val="24"/>
                <w:szCs w:val="24"/>
                <w:highlight w:val="none"/>
                <w:lang w:val="en-US" w:eastAsia="zh-CN" w:bidi="ar-SA"/>
              </w:rPr>
              <w:t>信息安全管理体系认证证书，</w:t>
            </w:r>
            <w:r>
              <w:rPr>
                <w:rFonts w:hint="eastAsia" w:ascii="宋体" w:hAnsi="宋体" w:cs="宋体"/>
                <w:color w:val="auto"/>
                <w:kern w:val="2"/>
                <w:sz w:val="24"/>
                <w:szCs w:val="24"/>
                <w:highlight w:val="none"/>
                <w:lang w:val="en-US" w:eastAsia="zh-CN" w:bidi="ar-SA"/>
              </w:rPr>
              <w:t>ISO</w:t>
            </w:r>
            <w:r>
              <w:rPr>
                <w:rFonts w:hint="eastAsia" w:ascii="宋体" w:hAnsi="宋体" w:eastAsia="宋体" w:cs="宋体"/>
                <w:color w:val="auto"/>
                <w:kern w:val="2"/>
                <w:sz w:val="24"/>
                <w:szCs w:val="24"/>
                <w:highlight w:val="none"/>
                <w:lang w:val="en-US" w:eastAsia="zh-CN" w:bidi="ar-SA"/>
              </w:rPr>
              <w:t>信息技术服务管理体系认证证书</w:t>
            </w:r>
            <w:r>
              <w:rPr>
                <w:rFonts w:hint="eastAsia" w:ascii="宋体" w:hAnsi="宋体" w:cs="宋体"/>
                <w:color w:val="auto"/>
                <w:kern w:val="2"/>
                <w:sz w:val="24"/>
                <w:szCs w:val="24"/>
                <w:highlight w:val="none"/>
                <w:lang w:val="en-US" w:eastAsia="zh-CN" w:bidi="ar-SA"/>
              </w:rPr>
              <w:t>的，每项得0.6分，本项最高得3分，不提供不得分。</w:t>
            </w:r>
            <w:r>
              <w:rPr>
                <w:rFonts w:hint="eastAsia" w:ascii="宋体" w:hAnsi="宋体" w:eastAsia="宋体" w:cs="宋体"/>
                <w:b w:val="0"/>
                <w:bCs w:val="0"/>
                <w:color w:val="auto"/>
                <w:kern w:val="2"/>
                <w:sz w:val="24"/>
                <w:szCs w:val="24"/>
                <w:highlight w:val="none"/>
                <w:lang w:val="en-US" w:eastAsia="zh-CN" w:bidi="ar-SA"/>
              </w:rPr>
              <w:t>(</w:t>
            </w:r>
            <w:r>
              <w:rPr>
                <w:rFonts w:hint="eastAsia" w:ascii="宋体" w:hAnsi="宋体" w:cs="宋体"/>
                <w:b w:val="0"/>
                <w:bCs w:val="0"/>
                <w:color w:val="auto"/>
                <w:kern w:val="2"/>
                <w:sz w:val="24"/>
                <w:szCs w:val="24"/>
                <w:highlight w:val="none"/>
                <w:lang w:val="en-US" w:eastAsia="zh-CN" w:bidi="ar-SA"/>
              </w:rPr>
              <w:t>投标</w:t>
            </w:r>
            <w:r>
              <w:rPr>
                <w:rFonts w:hint="eastAsia" w:ascii="宋体" w:hAnsi="宋体" w:eastAsia="宋体" w:cs="宋体"/>
                <w:b w:val="0"/>
                <w:bCs w:val="0"/>
                <w:color w:val="auto"/>
                <w:kern w:val="2"/>
                <w:sz w:val="24"/>
                <w:szCs w:val="24"/>
                <w:highlight w:val="none"/>
                <w:lang w:val="en-US" w:eastAsia="zh-CN" w:bidi="ar-SA"/>
              </w:rPr>
              <w:t>文件中</w:t>
            </w:r>
            <w:r>
              <w:rPr>
                <w:rFonts w:hint="eastAsia" w:ascii="宋体" w:hAnsi="宋体" w:cs="宋体"/>
                <w:b w:val="0"/>
                <w:bCs w:val="0"/>
                <w:color w:val="auto"/>
                <w:sz w:val="24"/>
                <w:highlight w:val="none"/>
                <w:lang w:val="en-US" w:eastAsia="zh-CN"/>
              </w:rPr>
              <w:t>附</w:t>
            </w:r>
            <w:r>
              <w:rPr>
                <w:rFonts w:hint="eastAsia" w:ascii="宋体" w:hAnsi="宋体" w:eastAsia="宋体" w:cs="宋体"/>
                <w:b w:val="0"/>
                <w:bCs w:val="0"/>
                <w:color w:val="auto"/>
                <w:sz w:val="24"/>
                <w:highlight w:val="none"/>
                <w:lang w:eastAsia="zh-CN"/>
              </w:rPr>
              <w:t>证书</w:t>
            </w:r>
            <w:r>
              <w:rPr>
                <w:rFonts w:hint="eastAsia" w:ascii="宋体" w:hAnsi="宋体" w:cs="宋体"/>
                <w:b w:val="0"/>
                <w:bCs w:val="0"/>
                <w:color w:val="auto"/>
                <w:sz w:val="24"/>
                <w:highlight w:val="none"/>
                <w:lang w:eastAsia="zh-CN"/>
              </w:rPr>
              <w:t>原件</w:t>
            </w:r>
            <w:r>
              <w:rPr>
                <w:rFonts w:hint="eastAsia" w:ascii="宋体" w:hAnsi="宋体" w:cs="宋体"/>
                <w:b w:val="0"/>
                <w:bCs w:val="0"/>
                <w:color w:val="auto"/>
                <w:sz w:val="24"/>
                <w:highlight w:val="none"/>
                <w:lang w:val="en-US" w:eastAsia="zh-CN"/>
              </w:rPr>
              <w:t>扫描件</w:t>
            </w:r>
            <w:r>
              <w:rPr>
                <w:rFonts w:hint="eastAsia" w:ascii="宋体" w:hAnsi="宋体" w:eastAsia="宋体" w:cs="宋体"/>
                <w:b w:val="0"/>
                <w:bCs w:val="0"/>
                <w:color w:val="auto"/>
                <w:kern w:val="2"/>
                <w:sz w:val="24"/>
                <w:szCs w:val="24"/>
                <w:highlight w:val="none"/>
                <w:lang w:val="en-US" w:eastAsia="zh-CN" w:bidi="ar-SA"/>
              </w:rPr>
              <w:t>)</w:t>
            </w:r>
          </w:p>
        </w:tc>
      </w:tr>
      <w:tr w14:paraId="6FF4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42" w:type="dxa"/>
            <w:vMerge w:val="continue"/>
            <w:tcMar>
              <w:left w:w="57" w:type="dxa"/>
              <w:right w:w="57" w:type="dxa"/>
            </w:tcMar>
            <w:vAlign w:val="center"/>
          </w:tcPr>
          <w:p w14:paraId="50FB4737">
            <w:pPr>
              <w:pStyle w:val="39"/>
              <w:spacing w:before="0" w:beforeAutospacing="0" w:after="0" w:afterAutospacing="0" w:line="360" w:lineRule="auto"/>
              <w:jc w:val="center"/>
              <w:rPr>
                <w:rFonts w:hint="eastAsia" w:ascii="宋体" w:hAnsi="宋体" w:eastAsia="宋体" w:cs="宋体"/>
                <w:color w:val="auto"/>
                <w:highlight w:val="none"/>
              </w:rPr>
            </w:pPr>
          </w:p>
        </w:tc>
        <w:tc>
          <w:tcPr>
            <w:tcW w:w="1157" w:type="dxa"/>
            <w:vMerge w:val="continue"/>
            <w:tcMar>
              <w:left w:w="57" w:type="dxa"/>
              <w:right w:w="57" w:type="dxa"/>
            </w:tcMar>
            <w:vAlign w:val="center"/>
          </w:tcPr>
          <w:p w14:paraId="6E84D5E0">
            <w:pPr>
              <w:spacing w:line="360" w:lineRule="auto"/>
              <w:jc w:val="center"/>
              <w:rPr>
                <w:rFonts w:hint="eastAsia" w:ascii="宋体" w:hAnsi="宋体" w:eastAsia="宋体" w:cs="宋体"/>
                <w:color w:val="auto"/>
                <w:sz w:val="24"/>
                <w:highlight w:val="none"/>
              </w:rPr>
            </w:pPr>
          </w:p>
        </w:tc>
        <w:tc>
          <w:tcPr>
            <w:tcW w:w="1523" w:type="dxa"/>
            <w:shd w:val="clear" w:color="auto" w:fill="auto"/>
            <w:tcMar>
              <w:left w:w="57" w:type="dxa"/>
              <w:right w:w="57" w:type="dxa"/>
            </w:tcMar>
            <w:vAlign w:val="center"/>
          </w:tcPr>
          <w:p w14:paraId="58C1AE45">
            <w:pPr>
              <w:autoSpaceDE w:val="0"/>
              <w:autoSpaceDN w:val="0"/>
              <w:adjustRightInd w:val="0"/>
              <w:snapToGrid w:val="0"/>
              <w:spacing w:line="360" w:lineRule="auto"/>
              <w:ind w:leftChars="-5" w:right="97" w:hanging="9" w:hangingChars="4"/>
              <w:jc w:val="center"/>
              <w:rPr>
                <w:rFonts w:hint="eastAsia" w:ascii="宋体" w:hAnsi="宋体" w:cs="宋体"/>
                <w:color w:val="auto"/>
                <w:spacing w:val="1"/>
                <w:kern w:val="0"/>
                <w:sz w:val="24"/>
                <w:szCs w:val="24"/>
                <w:highlight w:val="none"/>
              </w:rPr>
            </w:pPr>
            <w:r>
              <w:rPr>
                <w:rFonts w:hint="eastAsia" w:ascii="宋体" w:hAnsi="宋体" w:cs="宋体"/>
                <w:color w:val="auto"/>
                <w:spacing w:val="1"/>
                <w:kern w:val="0"/>
                <w:sz w:val="24"/>
                <w:szCs w:val="24"/>
                <w:highlight w:val="none"/>
              </w:rPr>
              <w:t>人员配备</w:t>
            </w:r>
          </w:p>
          <w:p w14:paraId="35E96EC9">
            <w:pPr>
              <w:autoSpaceDE w:val="0"/>
              <w:autoSpaceDN w:val="0"/>
              <w:adjustRightInd w:val="0"/>
              <w:snapToGrid w:val="0"/>
              <w:spacing w:line="360" w:lineRule="auto"/>
              <w:ind w:left="-1" w:leftChars="-5" w:right="97" w:rightChars="0" w:hanging="9" w:hangingChars="4"/>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pacing w:val="1"/>
                <w:kern w:val="0"/>
                <w:sz w:val="24"/>
                <w:szCs w:val="24"/>
                <w:highlight w:val="none"/>
              </w:rPr>
              <w:t>（</w:t>
            </w:r>
            <w:r>
              <w:rPr>
                <w:rFonts w:hint="eastAsia" w:ascii="宋体" w:hAnsi="宋体" w:cs="宋体"/>
                <w:color w:val="auto"/>
                <w:spacing w:val="1"/>
                <w:kern w:val="0"/>
                <w:sz w:val="24"/>
                <w:szCs w:val="24"/>
                <w:highlight w:val="none"/>
                <w:lang w:val="en-US" w:eastAsia="zh-CN"/>
              </w:rPr>
              <w:t>0-10</w:t>
            </w:r>
            <w:r>
              <w:rPr>
                <w:rFonts w:hint="eastAsia" w:ascii="宋体" w:hAnsi="宋体" w:cs="宋体"/>
                <w:color w:val="auto"/>
                <w:spacing w:val="1"/>
                <w:kern w:val="0"/>
                <w:sz w:val="24"/>
                <w:szCs w:val="24"/>
                <w:highlight w:val="none"/>
              </w:rPr>
              <w:t>分）</w:t>
            </w:r>
          </w:p>
        </w:tc>
        <w:tc>
          <w:tcPr>
            <w:tcW w:w="5936" w:type="dxa"/>
            <w:shd w:val="clear" w:color="auto" w:fill="auto"/>
            <w:tcMar>
              <w:left w:w="57" w:type="dxa"/>
              <w:right w:w="57" w:type="dxa"/>
            </w:tcMar>
            <w:vAlign w:val="center"/>
          </w:tcPr>
          <w:p w14:paraId="38B209E6">
            <w:pPr>
              <w:snapToGrid w:val="0"/>
              <w:spacing w:line="360" w:lineRule="auto"/>
              <w:rPr>
                <w:rFonts w:hint="eastAsia" w:ascii="宋体" w:hAnsi="宋体" w:cs="宋体"/>
                <w:b/>
                <w:bCs/>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eastAsia="zh-CN"/>
              </w:rPr>
              <w:t>拟投入的人员中具有</w:t>
            </w:r>
            <w:r>
              <w:rPr>
                <w:rFonts w:hint="eastAsia" w:ascii="宋体" w:hAnsi="宋体" w:cs="宋体"/>
                <w:color w:val="auto"/>
                <w:sz w:val="24"/>
                <w:highlight w:val="none"/>
                <w:lang w:val="en-US" w:eastAsia="zh-CN"/>
              </w:rPr>
              <w:t>信息类</w:t>
            </w:r>
            <w:r>
              <w:rPr>
                <w:rFonts w:hint="eastAsia" w:ascii="宋体" w:hAnsi="宋体" w:eastAsia="宋体" w:cs="宋体"/>
                <w:color w:val="auto"/>
                <w:sz w:val="24"/>
                <w:highlight w:val="none"/>
                <w:lang w:eastAsia="zh-CN"/>
              </w:rPr>
              <w:t>高级工程师证书的，每提供一个得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eastAsia="zh-CN"/>
              </w:rPr>
              <w:t>分</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具有信息系统项目管理师（高级）证书的，每提供一个得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eastAsia="zh-CN"/>
              </w:rPr>
              <w:t>分；具有系统分析师、软件设计师等相关专业中级或以上技术职称的，每提供一个得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eastAsia="zh-CN"/>
              </w:rPr>
              <w:t>分</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本项最高得</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eastAsia="zh-CN"/>
              </w:rPr>
              <w:t>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不提供不得分。</w:t>
            </w:r>
            <w:r>
              <w:rPr>
                <w:rFonts w:hint="eastAsia" w:ascii="宋体" w:hAnsi="宋体" w:cs="宋体"/>
                <w:b/>
                <w:bCs/>
                <w:color w:val="auto"/>
                <w:sz w:val="24"/>
                <w:highlight w:val="none"/>
                <w:lang w:val="en-US" w:eastAsia="zh-CN"/>
              </w:rPr>
              <w:t>（</w:t>
            </w:r>
            <w:r>
              <w:rPr>
                <w:rFonts w:hint="eastAsia" w:ascii="宋体" w:hAnsi="宋体" w:eastAsia="宋体" w:cs="宋体"/>
                <w:b/>
                <w:bCs/>
                <w:i w:val="0"/>
                <w:iCs w:val="0"/>
                <w:color w:val="auto"/>
                <w:kern w:val="0"/>
                <w:sz w:val="24"/>
                <w:szCs w:val="24"/>
                <w:highlight w:val="none"/>
                <w:u w:val="none"/>
                <w:lang w:val="en-US" w:eastAsia="zh-CN" w:bidi="ar"/>
              </w:rPr>
              <w:t>提供相关证书原件扫描件、劳动合同及缴纳在投标单位近三个月的社保证明并加盖公章，否则不得分。）</w:t>
            </w:r>
          </w:p>
          <w:p w14:paraId="3A3A347F">
            <w:pPr>
              <w:snapToGrid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）项目实施期间，团队组建15人及以上人员驻场团队的得2分；维护期间，长期安排3人现场支持，</w:t>
            </w:r>
            <w:r>
              <w:rPr>
                <w:rFonts w:hint="eastAsia" w:ascii="宋体" w:hAnsi="宋体" w:cs="宋体"/>
                <w:color w:val="auto"/>
                <w:sz w:val="24"/>
                <w:highlight w:val="none"/>
                <w:lang w:val="en-US" w:eastAsia="zh-CN"/>
              </w:rPr>
              <w:t>得2分，每</w:t>
            </w:r>
            <w:r>
              <w:rPr>
                <w:rFonts w:hint="eastAsia" w:ascii="宋体" w:hAnsi="宋体" w:eastAsia="宋体" w:cs="宋体"/>
                <w:color w:val="auto"/>
                <w:sz w:val="24"/>
                <w:highlight w:val="none"/>
                <w:lang w:val="en-US" w:eastAsia="zh-CN"/>
              </w:rPr>
              <w:t>少1人的扣</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分</w:t>
            </w:r>
            <w:r>
              <w:rPr>
                <w:rFonts w:hint="eastAsia" w:ascii="宋体" w:hAnsi="宋体" w:cs="宋体"/>
                <w:color w:val="auto"/>
                <w:sz w:val="24"/>
                <w:highlight w:val="none"/>
                <w:lang w:val="en-US" w:eastAsia="zh-CN"/>
              </w:rPr>
              <w:t>，扣完为止</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本项最高得</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分</w:t>
            </w:r>
            <w:r>
              <w:rPr>
                <w:rFonts w:hint="eastAsia" w:ascii="宋体" w:hAnsi="宋体" w:eastAsia="宋体" w:cs="宋体"/>
                <w:color w:val="auto"/>
                <w:sz w:val="24"/>
                <w:highlight w:val="none"/>
                <w:lang w:val="en-US" w:eastAsia="zh-CN"/>
              </w:rPr>
              <w:t>。</w:t>
            </w:r>
            <w:r>
              <w:rPr>
                <w:rFonts w:hint="eastAsia" w:ascii="宋体" w:hAnsi="宋体" w:eastAsia="宋体" w:cs="宋体"/>
                <w:b/>
                <w:bCs/>
                <w:color w:val="auto"/>
                <w:sz w:val="24"/>
                <w:highlight w:val="none"/>
                <w:lang w:val="en-US" w:eastAsia="zh-CN"/>
              </w:rPr>
              <w:t>(提供人员名单</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lang w:val="en-US" w:eastAsia="zh-CN"/>
              </w:rPr>
              <w:t>承诺书</w:t>
            </w:r>
            <w:r>
              <w:rPr>
                <w:rFonts w:hint="eastAsia" w:ascii="宋体" w:hAnsi="宋体" w:cs="宋体"/>
                <w:b/>
                <w:bCs/>
                <w:color w:val="auto"/>
                <w:sz w:val="24"/>
                <w:highlight w:val="none"/>
                <w:lang w:val="en-US" w:eastAsia="zh-CN"/>
              </w:rPr>
              <w:t>、</w:t>
            </w:r>
            <w:r>
              <w:rPr>
                <w:rFonts w:hint="eastAsia" w:ascii="宋体" w:hAnsi="宋体" w:eastAsia="宋体" w:cs="宋体"/>
                <w:b/>
                <w:bCs/>
                <w:i w:val="0"/>
                <w:iCs w:val="0"/>
                <w:color w:val="auto"/>
                <w:kern w:val="0"/>
                <w:sz w:val="24"/>
                <w:szCs w:val="24"/>
                <w:highlight w:val="none"/>
                <w:u w:val="none"/>
                <w:lang w:val="en-US" w:eastAsia="zh-CN" w:bidi="ar"/>
              </w:rPr>
              <w:t>劳动合同及缴纳在投标单位近三个月的社保证明并加盖公章，否则不得分。）</w:t>
            </w:r>
          </w:p>
        </w:tc>
      </w:tr>
      <w:tr w14:paraId="0B11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42" w:type="dxa"/>
            <w:vMerge w:val="continue"/>
            <w:tcMar>
              <w:left w:w="57" w:type="dxa"/>
              <w:right w:w="57" w:type="dxa"/>
            </w:tcMar>
            <w:vAlign w:val="center"/>
          </w:tcPr>
          <w:p w14:paraId="67377722">
            <w:pPr>
              <w:pStyle w:val="39"/>
              <w:spacing w:before="0" w:beforeAutospacing="0" w:after="0" w:afterAutospacing="0" w:line="360" w:lineRule="auto"/>
              <w:jc w:val="center"/>
              <w:rPr>
                <w:rFonts w:hint="eastAsia" w:ascii="宋体" w:hAnsi="宋体" w:eastAsia="宋体" w:cs="宋体"/>
                <w:color w:val="auto"/>
                <w:highlight w:val="none"/>
              </w:rPr>
            </w:pPr>
          </w:p>
        </w:tc>
        <w:tc>
          <w:tcPr>
            <w:tcW w:w="1157" w:type="dxa"/>
            <w:vMerge w:val="continue"/>
            <w:tcMar>
              <w:left w:w="57" w:type="dxa"/>
              <w:right w:w="57" w:type="dxa"/>
            </w:tcMar>
            <w:vAlign w:val="center"/>
          </w:tcPr>
          <w:p w14:paraId="29B6A58C">
            <w:pPr>
              <w:spacing w:line="360" w:lineRule="auto"/>
              <w:jc w:val="center"/>
              <w:rPr>
                <w:rFonts w:hint="eastAsia" w:ascii="宋体" w:hAnsi="宋体" w:eastAsia="宋体" w:cs="宋体"/>
                <w:color w:val="auto"/>
                <w:sz w:val="24"/>
                <w:highlight w:val="none"/>
              </w:rPr>
            </w:pPr>
          </w:p>
        </w:tc>
        <w:tc>
          <w:tcPr>
            <w:tcW w:w="1523" w:type="dxa"/>
            <w:shd w:val="clear" w:color="auto" w:fill="auto"/>
            <w:tcMar>
              <w:left w:w="57" w:type="dxa"/>
              <w:right w:w="57" w:type="dxa"/>
            </w:tcMar>
            <w:vAlign w:val="center"/>
          </w:tcPr>
          <w:p w14:paraId="008A6D45">
            <w:pPr>
              <w:autoSpaceDE w:val="0"/>
              <w:autoSpaceDN w:val="0"/>
              <w:adjustRightInd w:val="0"/>
              <w:snapToGrid w:val="0"/>
              <w:spacing w:line="360" w:lineRule="auto"/>
              <w:ind w:leftChars="-5" w:right="97" w:hanging="9" w:hangingChars="4"/>
              <w:jc w:val="center"/>
              <w:rPr>
                <w:rFonts w:hint="eastAsia" w:ascii="宋体" w:hAnsi="宋体" w:cs="宋体"/>
                <w:color w:val="auto"/>
                <w:spacing w:val="1"/>
                <w:kern w:val="0"/>
                <w:sz w:val="24"/>
                <w:szCs w:val="24"/>
                <w:highlight w:val="none"/>
              </w:rPr>
            </w:pPr>
            <w:r>
              <w:rPr>
                <w:rFonts w:hint="eastAsia" w:ascii="宋体" w:hAnsi="宋体" w:cs="宋体"/>
                <w:color w:val="auto"/>
                <w:sz w:val="24"/>
                <w:szCs w:val="24"/>
                <w:highlight w:val="none"/>
              </w:rPr>
              <w:t>售后</w:t>
            </w:r>
            <w:r>
              <w:rPr>
                <w:rFonts w:hint="eastAsia" w:ascii="宋体" w:hAnsi="宋体" w:cs="宋体"/>
                <w:color w:val="auto"/>
                <w:spacing w:val="1"/>
                <w:kern w:val="0"/>
                <w:sz w:val="24"/>
                <w:szCs w:val="24"/>
                <w:highlight w:val="none"/>
              </w:rPr>
              <w:t>服务承诺</w:t>
            </w:r>
          </w:p>
          <w:p w14:paraId="38ED9630">
            <w:pPr>
              <w:autoSpaceDE w:val="0"/>
              <w:autoSpaceDN w:val="0"/>
              <w:adjustRightInd w:val="0"/>
              <w:snapToGrid w:val="0"/>
              <w:spacing w:line="360" w:lineRule="auto"/>
              <w:ind w:left="-1" w:leftChars="-5" w:right="97" w:rightChars="0" w:hanging="9" w:hangingChars="4"/>
              <w:jc w:val="center"/>
              <w:rPr>
                <w:rFonts w:hint="eastAsia" w:ascii="宋体" w:hAnsi="宋体" w:eastAsia="宋体" w:cs="宋体"/>
                <w:bCs/>
                <w:color w:val="auto"/>
                <w:kern w:val="2"/>
                <w:sz w:val="24"/>
                <w:szCs w:val="24"/>
                <w:highlight w:val="none"/>
                <w:lang w:val="en-US" w:eastAsia="zh-CN" w:bidi="ar-SA"/>
              </w:rPr>
            </w:pPr>
            <w:r>
              <w:rPr>
                <w:rFonts w:hint="eastAsia" w:ascii="宋体" w:hAnsi="宋体" w:cs="宋体"/>
                <w:color w:val="auto"/>
                <w:spacing w:val="1"/>
                <w:kern w:val="0"/>
                <w:sz w:val="24"/>
                <w:szCs w:val="24"/>
                <w:highlight w:val="none"/>
              </w:rPr>
              <w:t>（</w:t>
            </w:r>
            <w:r>
              <w:rPr>
                <w:rFonts w:hint="eastAsia" w:ascii="宋体" w:hAnsi="宋体" w:cs="宋体"/>
                <w:color w:val="auto"/>
                <w:spacing w:val="1"/>
                <w:kern w:val="0"/>
                <w:sz w:val="24"/>
                <w:szCs w:val="24"/>
                <w:highlight w:val="none"/>
                <w:lang w:val="en-US" w:eastAsia="zh-CN"/>
              </w:rPr>
              <w:t>0-9</w:t>
            </w:r>
            <w:r>
              <w:rPr>
                <w:rFonts w:hint="eastAsia" w:ascii="宋体" w:hAnsi="宋体" w:cs="宋体"/>
                <w:color w:val="auto"/>
                <w:spacing w:val="1"/>
                <w:kern w:val="0"/>
                <w:sz w:val="24"/>
                <w:szCs w:val="24"/>
                <w:highlight w:val="none"/>
              </w:rPr>
              <w:t>分）</w:t>
            </w:r>
          </w:p>
        </w:tc>
        <w:tc>
          <w:tcPr>
            <w:tcW w:w="5936" w:type="dxa"/>
            <w:shd w:val="clear" w:color="auto" w:fill="auto"/>
            <w:tcMar>
              <w:left w:w="57" w:type="dxa"/>
              <w:right w:w="57" w:type="dxa"/>
            </w:tcMar>
            <w:vAlign w:val="center"/>
          </w:tcPr>
          <w:p w14:paraId="758B3785">
            <w:pPr>
              <w:snapToGrid w:val="0"/>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根据投标人提供的</w:t>
            </w:r>
            <w:r>
              <w:rPr>
                <w:rFonts w:hint="eastAsia" w:ascii="宋体" w:hAnsi="宋体" w:cs="宋体"/>
                <w:color w:val="auto"/>
                <w:sz w:val="24"/>
                <w:szCs w:val="24"/>
                <w:highlight w:val="none"/>
              </w:rPr>
              <w:t>售后</w:t>
            </w:r>
            <w:r>
              <w:rPr>
                <w:rFonts w:hint="eastAsia" w:ascii="宋体" w:hAnsi="宋体" w:cs="宋体"/>
                <w:color w:val="auto"/>
                <w:spacing w:val="1"/>
                <w:kern w:val="0"/>
                <w:sz w:val="24"/>
                <w:szCs w:val="24"/>
                <w:highlight w:val="none"/>
              </w:rPr>
              <w:t>服务承诺</w:t>
            </w:r>
            <w:r>
              <w:rPr>
                <w:rFonts w:hint="eastAsia" w:ascii="宋体" w:hAnsi="宋体" w:cs="宋体"/>
                <w:color w:val="auto"/>
                <w:spacing w:val="1"/>
                <w:kern w:val="0"/>
                <w:sz w:val="24"/>
                <w:szCs w:val="24"/>
                <w:highlight w:val="none"/>
                <w:lang w:eastAsia="zh-CN"/>
              </w:rPr>
              <w:t>的完整性、合理性及可行性以及</w:t>
            </w:r>
            <w:r>
              <w:rPr>
                <w:rFonts w:hint="eastAsia" w:ascii="宋体" w:hAnsi="宋体" w:eastAsia="宋体" w:cs="宋体"/>
                <w:i w:val="0"/>
                <w:iCs w:val="0"/>
                <w:color w:val="auto"/>
                <w:kern w:val="0"/>
                <w:sz w:val="24"/>
                <w:szCs w:val="24"/>
                <w:highlight w:val="none"/>
                <w:u w:val="none"/>
                <w:lang w:val="en-US" w:eastAsia="zh-CN" w:bidi="ar"/>
              </w:rPr>
              <w:t>售后服务能力（包含但不限于服务网点相关运维人员情况、备货备件存放仓库、车辆备勤场所等）</w:t>
            </w:r>
            <w:r>
              <w:rPr>
                <w:rFonts w:hint="eastAsia" w:ascii="宋体" w:hAnsi="宋体" w:eastAsia="宋体" w:cs="宋体"/>
                <w:color w:val="auto"/>
                <w:sz w:val="24"/>
                <w:highlight w:val="none"/>
                <w:lang w:eastAsia="zh-CN"/>
              </w:rPr>
              <w:t>进行综合打分，</w:t>
            </w:r>
          </w:p>
          <w:p w14:paraId="4AA516C4">
            <w:pPr>
              <w:tabs>
                <w:tab w:val="left" w:pos="284"/>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提供的售后服务承诺内容科学、合理、售后服务系统完善、针对性强，综合实力强</w:t>
            </w:r>
            <w:r>
              <w:rPr>
                <w:rFonts w:hint="eastAsia" w:ascii="宋体" w:hAnsi="宋体" w:cs="宋体"/>
                <w:color w:val="auto"/>
                <w:sz w:val="24"/>
                <w:szCs w:val="24"/>
                <w:highlight w:val="none"/>
                <w:lang w:eastAsia="zh-CN"/>
              </w:rPr>
              <w:t>；</w:t>
            </w:r>
            <w:r>
              <w:rPr>
                <w:rFonts w:hint="eastAsia" w:ascii="宋体" w:hAnsi="宋体" w:eastAsia="宋体" w:cs="宋体"/>
                <w:i w:val="0"/>
                <w:iCs w:val="0"/>
                <w:color w:val="auto"/>
                <w:kern w:val="0"/>
                <w:sz w:val="24"/>
                <w:szCs w:val="24"/>
                <w:highlight w:val="none"/>
                <w:u w:val="none"/>
                <w:lang w:val="en-US" w:eastAsia="zh-CN" w:bidi="ar"/>
              </w:rPr>
              <w:t>服务能力强、服务网点数量多、距离实施点近，</w:t>
            </w:r>
            <w:r>
              <w:rPr>
                <w:rFonts w:hint="eastAsia" w:ascii="宋体" w:hAnsi="宋体" w:cs="宋体"/>
                <w:color w:val="auto"/>
                <w:sz w:val="24"/>
                <w:szCs w:val="24"/>
                <w:highlight w:val="none"/>
              </w:rPr>
              <w:t>应急处理时间安排合理，能够及时到达现场处理故障，</w:t>
            </w:r>
            <w:r>
              <w:rPr>
                <w:rFonts w:hint="eastAsia" w:ascii="宋体" w:hAnsi="宋体" w:cs="宋体"/>
                <w:color w:val="auto"/>
                <w:sz w:val="24"/>
                <w:szCs w:val="24"/>
                <w:highlight w:val="none"/>
                <w:lang w:val="en-US" w:eastAsia="zh-CN"/>
              </w:rPr>
              <w:t>能</w:t>
            </w:r>
            <w:r>
              <w:rPr>
                <w:rFonts w:hint="eastAsia" w:ascii="宋体" w:hAnsi="宋体" w:cs="宋体"/>
                <w:color w:val="auto"/>
                <w:sz w:val="24"/>
                <w:szCs w:val="24"/>
                <w:highlight w:val="none"/>
              </w:rPr>
              <w:t>够充分满足</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的需求的得</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分；</w:t>
            </w:r>
          </w:p>
          <w:p w14:paraId="5DE73CDB">
            <w:pPr>
              <w:tabs>
                <w:tab w:val="left" w:pos="284"/>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提供的售后服务承诺内容比较科学、合理、售后服务系统</w:t>
            </w:r>
            <w:r>
              <w:rPr>
                <w:rFonts w:hint="eastAsia" w:ascii="宋体" w:hAnsi="宋体" w:cs="宋体"/>
                <w:color w:val="auto"/>
                <w:sz w:val="24"/>
                <w:szCs w:val="24"/>
                <w:highlight w:val="none"/>
                <w:lang w:eastAsia="zh-CN"/>
              </w:rPr>
              <w:t>较</w:t>
            </w:r>
            <w:r>
              <w:rPr>
                <w:rFonts w:hint="eastAsia" w:ascii="宋体" w:hAnsi="宋体" w:cs="宋体"/>
                <w:color w:val="auto"/>
                <w:sz w:val="24"/>
                <w:szCs w:val="24"/>
                <w:highlight w:val="none"/>
              </w:rPr>
              <w:t>完善、针对性</w:t>
            </w:r>
            <w:r>
              <w:rPr>
                <w:rFonts w:hint="eastAsia" w:ascii="宋体" w:hAnsi="宋体" w:cs="宋体"/>
                <w:color w:val="auto"/>
                <w:sz w:val="24"/>
                <w:szCs w:val="24"/>
                <w:highlight w:val="none"/>
                <w:lang w:eastAsia="zh-CN"/>
              </w:rPr>
              <w:t>较</w:t>
            </w:r>
            <w:r>
              <w:rPr>
                <w:rFonts w:hint="eastAsia" w:ascii="宋体" w:hAnsi="宋体" w:cs="宋体"/>
                <w:color w:val="auto"/>
                <w:sz w:val="24"/>
                <w:szCs w:val="24"/>
                <w:highlight w:val="none"/>
              </w:rPr>
              <w:t>强，综合实力较强，</w:t>
            </w:r>
            <w:r>
              <w:rPr>
                <w:rFonts w:hint="eastAsia" w:ascii="宋体" w:hAnsi="宋体" w:eastAsia="宋体" w:cs="宋体"/>
                <w:i w:val="0"/>
                <w:iCs w:val="0"/>
                <w:color w:val="auto"/>
                <w:kern w:val="0"/>
                <w:sz w:val="24"/>
                <w:szCs w:val="24"/>
                <w:highlight w:val="none"/>
                <w:u w:val="none"/>
                <w:lang w:val="en-US" w:eastAsia="zh-CN" w:bidi="ar"/>
              </w:rPr>
              <w:t>服务能力较强、服务网点数量较多、距离实施点较远，</w:t>
            </w:r>
            <w:r>
              <w:rPr>
                <w:rFonts w:hint="eastAsia" w:ascii="宋体" w:hAnsi="宋体" w:cs="宋体"/>
                <w:color w:val="auto"/>
                <w:sz w:val="24"/>
                <w:szCs w:val="24"/>
                <w:highlight w:val="none"/>
              </w:rPr>
              <w:t>应急处理时间安排较合理，能够基本满足</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的需求的得</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p w14:paraId="0B341981">
            <w:pPr>
              <w:tabs>
                <w:tab w:val="left" w:pos="284"/>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提供的售后服务承诺内容</w:t>
            </w:r>
            <w:r>
              <w:rPr>
                <w:rFonts w:hint="eastAsia" w:ascii="宋体" w:hAnsi="宋体" w:cs="宋体"/>
                <w:color w:val="auto"/>
                <w:sz w:val="24"/>
                <w:szCs w:val="24"/>
                <w:highlight w:val="none"/>
                <w:lang w:eastAsia="zh-CN"/>
              </w:rPr>
              <w:t>一般</w:t>
            </w:r>
            <w:r>
              <w:rPr>
                <w:rFonts w:hint="eastAsia" w:ascii="宋体" w:hAnsi="宋体" w:cs="宋体"/>
                <w:color w:val="auto"/>
                <w:sz w:val="24"/>
                <w:szCs w:val="24"/>
                <w:highlight w:val="none"/>
              </w:rPr>
              <w:t>、售后服务系统</w:t>
            </w:r>
            <w:r>
              <w:rPr>
                <w:rFonts w:hint="eastAsia" w:ascii="宋体" w:hAnsi="宋体" w:cs="宋体"/>
                <w:color w:val="auto"/>
                <w:sz w:val="24"/>
                <w:szCs w:val="24"/>
                <w:highlight w:val="none"/>
                <w:lang w:eastAsia="zh-CN"/>
              </w:rPr>
              <w:t>一般</w:t>
            </w:r>
            <w:r>
              <w:rPr>
                <w:rFonts w:hint="eastAsia" w:ascii="宋体" w:hAnsi="宋体" w:cs="宋体"/>
                <w:color w:val="auto"/>
                <w:sz w:val="24"/>
                <w:szCs w:val="24"/>
                <w:highlight w:val="none"/>
              </w:rPr>
              <w:t>、综合实力</w:t>
            </w:r>
            <w:r>
              <w:rPr>
                <w:rFonts w:hint="eastAsia" w:ascii="宋体" w:hAnsi="宋体" w:cs="宋体"/>
                <w:color w:val="auto"/>
                <w:sz w:val="24"/>
                <w:szCs w:val="24"/>
                <w:highlight w:val="none"/>
                <w:lang w:eastAsia="zh-CN"/>
              </w:rPr>
              <w:t>一般</w:t>
            </w:r>
            <w:r>
              <w:rPr>
                <w:rFonts w:hint="eastAsia" w:ascii="宋体" w:hAnsi="宋体" w:cs="宋体"/>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服务能力弱、服务网点数量少、距离实施点远，</w:t>
            </w:r>
            <w:r>
              <w:rPr>
                <w:rFonts w:hint="eastAsia" w:ascii="宋体" w:hAnsi="宋体" w:cs="宋体"/>
                <w:color w:val="auto"/>
                <w:sz w:val="24"/>
                <w:szCs w:val="24"/>
                <w:highlight w:val="none"/>
              </w:rPr>
              <w:t>应急处理时间安排</w:t>
            </w:r>
            <w:r>
              <w:rPr>
                <w:rFonts w:hint="eastAsia" w:ascii="宋体" w:hAnsi="宋体" w:cs="宋体"/>
                <w:color w:val="auto"/>
                <w:sz w:val="24"/>
                <w:szCs w:val="24"/>
                <w:highlight w:val="none"/>
                <w:lang w:eastAsia="zh-CN"/>
              </w:rPr>
              <w:t>不太</w:t>
            </w:r>
            <w:r>
              <w:rPr>
                <w:rFonts w:hint="eastAsia" w:ascii="宋体" w:hAnsi="宋体" w:cs="宋体"/>
                <w:color w:val="auto"/>
                <w:sz w:val="24"/>
                <w:szCs w:val="24"/>
                <w:highlight w:val="none"/>
              </w:rPr>
              <w:t>合理，基本满足</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的需求的得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w:t>
            </w:r>
          </w:p>
          <w:p w14:paraId="378815B9">
            <w:pPr>
              <w:tabs>
                <w:tab w:val="left" w:pos="284"/>
              </w:tabs>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r>
              <w:rPr>
                <w:rFonts w:hint="eastAsia" w:ascii="宋体" w:hAnsi="宋体" w:eastAsia="宋体" w:cs="宋体"/>
                <w:color w:val="auto"/>
                <w:kern w:val="2"/>
                <w:sz w:val="24"/>
                <w:szCs w:val="24"/>
                <w:highlight w:val="none"/>
                <w:lang w:val="en-US" w:eastAsia="zh-Hans" w:bidi="ar-SA"/>
              </w:rPr>
              <w:t>未提供的不得分。</w:t>
            </w:r>
          </w:p>
        </w:tc>
      </w:tr>
      <w:tr w14:paraId="5D5D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2" w:type="dxa"/>
            <w:vMerge w:val="continue"/>
            <w:tcMar>
              <w:left w:w="57" w:type="dxa"/>
              <w:right w:w="57" w:type="dxa"/>
            </w:tcMar>
            <w:vAlign w:val="center"/>
          </w:tcPr>
          <w:p w14:paraId="1E782AFD">
            <w:pPr>
              <w:pStyle w:val="39"/>
              <w:spacing w:before="0" w:beforeAutospacing="0" w:after="0" w:afterAutospacing="0" w:line="360" w:lineRule="auto"/>
              <w:jc w:val="center"/>
              <w:rPr>
                <w:rFonts w:hint="eastAsia" w:ascii="宋体" w:hAnsi="宋体" w:eastAsia="宋体" w:cs="宋体"/>
                <w:color w:val="auto"/>
                <w:highlight w:val="none"/>
              </w:rPr>
            </w:pPr>
          </w:p>
        </w:tc>
        <w:tc>
          <w:tcPr>
            <w:tcW w:w="1157" w:type="dxa"/>
            <w:vMerge w:val="continue"/>
            <w:tcMar>
              <w:left w:w="57" w:type="dxa"/>
              <w:right w:w="57" w:type="dxa"/>
            </w:tcMar>
            <w:vAlign w:val="center"/>
          </w:tcPr>
          <w:p w14:paraId="54573409">
            <w:pPr>
              <w:spacing w:line="360" w:lineRule="auto"/>
              <w:jc w:val="center"/>
              <w:rPr>
                <w:rFonts w:hint="eastAsia" w:ascii="宋体" w:hAnsi="宋体" w:eastAsia="宋体" w:cs="宋体"/>
                <w:color w:val="auto"/>
                <w:sz w:val="24"/>
                <w:highlight w:val="none"/>
              </w:rPr>
            </w:pPr>
          </w:p>
        </w:tc>
        <w:tc>
          <w:tcPr>
            <w:tcW w:w="1523" w:type="dxa"/>
            <w:tcMar>
              <w:left w:w="57" w:type="dxa"/>
              <w:right w:w="57" w:type="dxa"/>
            </w:tcMar>
            <w:vAlign w:val="center"/>
          </w:tcPr>
          <w:p w14:paraId="209F7FDC">
            <w:pPr>
              <w:adjustRightInd w:val="0"/>
              <w:snapToGrid w:val="0"/>
              <w:spacing w:line="400" w:lineRule="exact"/>
              <w:jc w:val="center"/>
              <w:rPr>
                <w:rFonts w:hint="eastAsia" w:ascii="宋体" w:hAnsi="宋体"/>
                <w:color w:val="auto"/>
                <w:sz w:val="24"/>
                <w:szCs w:val="24"/>
                <w:highlight w:val="none"/>
              </w:rPr>
            </w:pPr>
            <w:r>
              <w:rPr>
                <w:rFonts w:hint="eastAsia" w:ascii="宋体" w:hAnsi="宋体"/>
                <w:color w:val="auto"/>
                <w:sz w:val="24"/>
                <w:szCs w:val="24"/>
                <w:highlight w:val="none"/>
              </w:rPr>
              <w:t>优惠条件</w:t>
            </w:r>
          </w:p>
          <w:p w14:paraId="677F3C8F">
            <w:pPr>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0-3分</w:t>
            </w:r>
            <w:r>
              <w:rPr>
                <w:rFonts w:hint="eastAsia" w:ascii="宋体" w:hAnsi="宋体"/>
                <w:color w:val="auto"/>
                <w:sz w:val="24"/>
                <w:szCs w:val="24"/>
                <w:highlight w:val="none"/>
                <w:lang w:eastAsia="zh-CN"/>
              </w:rPr>
              <w:t>）</w:t>
            </w:r>
          </w:p>
        </w:tc>
        <w:tc>
          <w:tcPr>
            <w:tcW w:w="5936" w:type="dxa"/>
            <w:tcMar>
              <w:left w:w="57" w:type="dxa"/>
              <w:right w:w="57" w:type="dxa"/>
            </w:tcMar>
            <w:vAlign w:val="center"/>
          </w:tcPr>
          <w:p w14:paraId="72996DB8">
            <w:pPr>
              <w:numPr>
                <w:ilvl w:val="0"/>
                <w:numId w:val="0"/>
              </w:numPr>
              <w:spacing w:line="420" w:lineRule="exact"/>
              <w:jc w:val="left"/>
              <w:rPr>
                <w:rFonts w:hint="eastAsia"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供应商提供具有实质性优惠承诺，对本次采购内容有实质性作用的</w:t>
            </w:r>
            <w:r>
              <w:rPr>
                <w:rFonts w:hint="eastAsia" w:ascii="宋体" w:hAnsi="宋体" w:eastAsia="宋体" w:cs="Times New Roman"/>
                <w:color w:val="auto"/>
                <w:sz w:val="24"/>
                <w:szCs w:val="24"/>
                <w:highlight w:val="none"/>
                <w:lang w:eastAsia="zh-CN"/>
              </w:rPr>
              <w:t>，在</w:t>
            </w:r>
            <w:r>
              <w:rPr>
                <w:rFonts w:hint="eastAsia" w:ascii="宋体" w:hAnsi="宋体" w:eastAsia="宋体" w:cs="Times New Roman"/>
                <w:color w:val="auto"/>
                <w:sz w:val="24"/>
                <w:szCs w:val="24"/>
                <w:highlight w:val="none"/>
                <w:lang w:val="en-US" w:eastAsia="zh-CN"/>
              </w:rPr>
              <w:t>0-3分之间</w:t>
            </w:r>
            <w:r>
              <w:rPr>
                <w:rFonts w:hint="eastAsia" w:ascii="宋体" w:hAnsi="宋体" w:eastAsia="宋体" w:cs="宋体"/>
                <w:color w:val="auto"/>
                <w:sz w:val="24"/>
                <w:szCs w:val="24"/>
                <w:highlight w:val="none"/>
                <w:lang w:eastAsia="zh-CN"/>
              </w:rPr>
              <w:t>进行打分。</w:t>
            </w:r>
          </w:p>
        </w:tc>
      </w:tr>
      <w:tr w14:paraId="15775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9458" w:type="dxa"/>
            <w:gridSpan w:val="4"/>
            <w:tcMar>
              <w:left w:w="57" w:type="dxa"/>
              <w:right w:w="57" w:type="dxa"/>
            </w:tcMar>
            <w:vAlign w:val="center"/>
          </w:tcPr>
          <w:p w14:paraId="30CED461">
            <w:pPr>
              <w:spacing w:line="360" w:lineRule="auto"/>
              <w:rPr>
                <w:rFonts w:hint="default" w:eastAsia="宋体" w:cs="Times New Roman"/>
                <w:b/>
                <w:bCs/>
                <w:color w:val="auto"/>
                <w:sz w:val="24"/>
                <w:highlight w:val="none"/>
                <w:lang w:val="en-US" w:eastAsia="zh-CN"/>
              </w:rPr>
            </w:pPr>
            <w:bookmarkStart w:id="195" w:name="_Toc524622324"/>
            <w:bookmarkStart w:id="196" w:name="_Toc380053214"/>
            <w:bookmarkStart w:id="197" w:name="_Toc23672"/>
            <w:bookmarkStart w:id="198" w:name="_Toc5071"/>
            <w:bookmarkStart w:id="199" w:name="_Toc251767413"/>
            <w:bookmarkStart w:id="200" w:name="_Toc528057101"/>
            <w:bookmarkStart w:id="201" w:name="_Toc24882"/>
            <w:bookmarkStart w:id="202" w:name="_Toc32099"/>
            <w:bookmarkStart w:id="203" w:name="_Toc14466"/>
            <w:bookmarkStart w:id="204" w:name="_Toc16749"/>
            <w:bookmarkStart w:id="205" w:name="_Toc12713"/>
            <w:bookmarkStart w:id="206" w:name="_Toc234"/>
            <w:bookmarkStart w:id="207" w:name="_Toc16158"/>
            <w:bookmarkStart w:id="208" w:name="_Toc14116"/>
            <w:bookmarkStart w:id="209" w:name="_Toc528051240"/>
            <w:bookmarkStart w:id="210" w:name="_Toc191983638"/>
            <w:r>
              <w:rPr>
                <w:rFonts w:hint="eastAsia" w:cs="Times New Roman"/>
                <w:b/>
                <w:bCs/>
                <w:color w:val="auto"/>
                <w:sz w:val="24"/>
                <w:highlight w:val="none"/>
                <w:lang w:val="en-US" w:eastAsia="zh-CN"/>
              </w:rPr>
              <w:t>注：以上评分标准要求提供相关证明材料的，投标人未提供的不得分。</w:t>
            </w:r>
          </w:p>
        </w:tc>
      </w:tr>
    </w:tbl>
    <w:p w14:paraId="5B82FE91">
      <w:pPr>
        <w:pStyle w:val="3"/>
        <w:tabs>
          <w:tab w:val="left" w:pos="425"/>
        </w:tabs>
        <w:spacing w:before="0" w:after="0" w:line="500" w:lineRule="exact"/>
        <w:rPr>
          <w:rFonts w:hint="eastAsia" w:ascii="宋体" w:hAnsi="宋体" w:eastAsia="宋体" w:cs="宋体"/>
          <w:color w:val="auto"/>
          <w:sz w:val="24"/>
          <w:szCs w:val="24"/>
          <w:highlight w:val="none"/>
        </w:rPr>
      </w:pPr>
      <w:bookmarkStart w:id="211" w:name="_Toc1031"/>
      <w:r>
        <w:rPr>
          <w:rFonts w:hint="eastAsia" w:ascii="宋体" w:hAnsi="宋体" w:eastAsia="宋体" w:cs="宋体"/>
          <w:color w:val="auto"/>
          <w:sz w:val="24"/>
          <w:szCs w:val="24"/>
          <w:highlight w:val="none"/>
        </w:rPr>
        <w:t>1.评标方法</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7C431ABB">
      <w:pPr>
        <w:spacing w:line="500" w:lineRule="exact"/>
        <w:ind w:firstLine="480" w:firstLineChars="200"/>
        <w:rPr>
          <w:rFonts w:hint="eastAsia" w:ascii="宋体" w:hAnsi="宋体" w:eastAsia="宋体" w:cs="宋体"/>
          <w:color w:val="auto"/>
          <w:sz w:val="24"/>
          <w:highlight w:val="none"/>
        </w:rPr>
      </w:pPr>
      <w:bookmarkStart w:id="212" w:name="_Toc27118"/>
      <w:bookmarkStart w:id="213" w:name="_Toc251767414"/>
      <w:bookmarkStart w:id="214" w:name="_Toc191983639"/>
      <w:r>
        <w:rPr>
          <w:rFonts w:hint="eastAsia" w:ascii="宋体" w:hAnsi="宋体" w:eastAsia="宋体" w:cs="宋体"/>
          <w:color w:val="auto"/>
          <w:sz w:val="24"/>
          <w:highlight w:val="none"/>
        </w:rPr>
        <w:t>本次评标采用综合评分法。评标委员会对满足招标文件实质性要求的投标文件，按照本章第2.2款规定的评分标准进行打分，并按得分由高到低顺序推荐3名中标候选人，但投标报价低于其成本的除外。综合评分相等时，以投标报价低的优先；投标报价也相等的，由</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自行确定。</w:t>
      </w:r>
    </w:p>
    <w:p w14:paraId="19B32ED2">
      <w:pPr>
        <w:pStyle w:val="3"/>
        <w:tabs>
          <w:tab w:val="left" w:pos="425"/>
        </w:tabs>
        <w:spacing w:before="0" w:after="0" w:line="500" w:lineRule="exact"/>
        <w:ind w:left="-425" w:firstLine="241" w:firstLineChars="100"/>
        <w:rPr>
          <w:rFonts w:hint="eastAsia" w:ascii="宋体" w:hAnsi="宋体" w:eastAsia="宋体" w:cs="宋体"/>
          <w:color w:val="auto"/>
          <w:sz w:val="24"/>
          <w:szCs w:val="24"/>
          <w:highlight w:val="none"/>
        </w:rPr>
      </w:pPr>
      <w:bookmarkStart w:id="215" w:name="_Toc15552"/>
      <w:bookmarkStart w:id="216" w:name="_Toc380053215"/>
      <w:bookmarkStart w:id="217" w:name="_Toc24053"/>
      <w:bookmarkStart w:id="218" w:name="_Toc15172"/>
      <w:bookmarkStart w:id="219" w:name="_Toc524622325"/>
      <w:bookmarkStart w:id="220" w:name="_Toc528057102"/>
      <w:bookmarkStart w:id="221" w:name="_Toc11275"/>
      <w:bookmarkStart w:id="222" w:name="_Toc2845"/>
      <w:bookmarkStart w:id="223" w:name="_Toc528051241"/>
      <w:bookmarkStart w:id="224" w:name="_Toc24231"/>
      <w:bookmarkStart w:id="225" w:name="_Toc4468"/>
      <w:bookmarkStart w:id="226" w:name="_Toc268"/>
      <w:bookmarkStart w:id="227" w:name="_Toc16860"/>
      <w:bookmarkStart w:id="228" w:name="_Toc31611"/>
      <w:r>
        <w:rPr>
          <w:rFonts w:hint="eastAsia" w:ascii="宋体" w:hAnsi="宋体" w:eastAsia="宋体" w:cs="宋体"/>
          <w:color w:val="auto"/>
          <w:sz w:val="24"/>
          <w:szCs w:val="24"/>
          <w:highlight w:val="none"/>
        </w:rPr>
        <w:t>2.评审标准</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Start w:id="316" w:name="_GoBack"/>
      <w:bookmarkEnd w:id="316"/>
    </w:p>
    <w:p w14:paraId="3AFBC8E1">
      <w:pPr>
        <w:spacing w:line="500" w:lineRule="exact"/>
        <w:ind w:left="-170"/>
        <w:rPr>
          <w:rFonts w:hint="eastAsia" w:ascii="宋体" w:hAnsi="宋体" w:eastAsia="宋体" w:cs="宋体"/>
          <w:color w:val="auto"/>
          <w:sz w:val="24"/>
          <w:highlight w:val="none"/>
        </w:rPr>
      </w:pPr>
      <w:r>
        <w:rPr>
          <w:rFonts w:hint="eastAsia" w:ascii="宋体" w:hAnsi="宋体" w:eastAsia="宋体" w:cs="宋体"/>
          <w:b/>
          <w:color w:val="auto"/>
          <w:sz w:val="24"/>
          <w:highlight w:val="none"/>
        </w:rPr>
        <w:t>2.1初步评审标准</w:t>
      </w:r>
    </w:p>
    <w:p w14:paraId="1CBD394F">
      <w:pPr>
        <w:spacing w:line="5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开标结束后，由采购人对各投标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资格进行审查。合格投标供应商不足3家的，不得评标。</w:t>
      </w:r>
    </w:p>
    <w:p w14:paraId="5D6048BE">
      <w:pPr>
        <w:spacing w:line="5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形式评审标准：见评标办法前附表。</w:t>
      </w:r>
    </w:p>
    <w:p w14:paraId="04FDF437">
      <w:pPr>
        <w:spacing w:line="5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2.1.2 资格评审标准：见评标办法前附表。</w:t>
      </w:r>
    </w:p>
    <w:p w14:paraId="73E2AF82">
      <w:pPr>
        <w:spacing w:line="50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2.1.3 响应性评审标准：见评标办法前附表。</w:t>
      </w:r>
    </w:p>
    <w:p w14:paraId="1A5F5294">
      <w:pPr>
        <w:spacing w:line="500" w:lineRule="exact"/>
        <w:ind w:left="-17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2.2分值构成与评分标准</w:t>
      </w:r>
      <w:bookmarkStart w:id="229" w:name="_Toc191983640"/>
      <w:bookmarkStart w:id="230" w:name="_Toc251767415"/>
      <w:bookmarkStart w:id="231" w:name="_Toc12945"/>
    </w:p>
    <w:p w14:paraId="0CC7862E">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2.2.1 分值构成</w:t>
      </w:r>
    </w:p>
    <w:p w14:paraId="0370991D">
      <w:pPr>
        <w:spacing w:line="500" w:lineRule="exact"/>
        <w:rPr>
          <w:rFonts w:hint="eastAsia" w:ascii="宋体" w:hAnsi="宋体" w:cs="宋体"/>
          <w:color w:val="auto"/>
          <w:sz w:val="24"/>
          <w:highlight w:val="none"/>
          <w:lang w:eastAsia="zh-CN"/>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）投标报价：见评标办法前附表</w:t>
      </w:r>
      <w:r>
        <w:rPr>
          <w:rFonts w:hint="eastAsia" w:ascii="宋体" w:hAnsi="宋体" w:cs="宋体"/>
          <w:color w:val="auto"/>
          <w:sz w:val="24"/>
          <w:highlight w:val="none"/>
          <w:lang w:eastAsia="zh-CN"/>
        </w:rPr>
        <w:t>；</w:t>
      </w:r>
    </w:p>
    <w:p w14:paraId="7A999D92">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）技术评分：见评标办法前附表；</w:t>
      </w:r>
    </w:p>
    <w:p w14:paraId="703C6CD8">
      <w:pPr>
        <w:spacing w:line="500" w:lineRule="exact"/>
        <w:rPr>
          <w:rFonts w:hint="eastAsia" w:eastAsia="宋体"/>
          <w:color w:val="auto"/>
          <w:highlight w:val="none"/>
          <w:lang w:eastAsia="zh-CN"/>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）综合评分：见评标办法前附表</w:t>
      </w:r>
      <w:r>
        <w:rPr>
          <w:rFonts w:hint="eastAsia" w:ascii="宋体" w:hAnsi="宋体" w:cs="宋体"/>
          <w:color w:val="auto"/>
          <w:sz w:val="24"/>
          <w:highlight w:val="none"/>
          <w:lang w:eastAsia="zh-CN"/>
        </w:rPr>
        <w:t>。</w:t>
      </w:r>
    </w:p>
    <w:p w14:paraId="1F60183D">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 xml:space="preserve"> 评分标准</w:t>
      </w:r>
    </w:p>
    <w:p w14:paraId="3CE19FA9">
      <w:pPr>
        <w:spacing w:line="500" w:lineRule="exact"/>
        <w:rPr>
          <w:rFonts w:hint="eastAsia" w:ascii="宋体" w:hAnsi="宋体" w:cs="宋体"/>
          <w:color w:val="auto"/>
          <w:sz w:val="24"/>
          <w:highlight w:val="none"/>
          <w:lang w:eastAsia="zh-CN"/>
        </w:rPr>
      </w:pPr>
      <w:bookmarkStart w:id="232" w:name="_Toc21299"/>
      <w:bookmarkStart w:id="233" w:name="_Toc11960"/>
      <w:bookmarkStart w:id="234" w:name="_Toc31315"/>
      <w:bookmarkStart w:id="235" w:name="_Toc528057103"/>
      <w:bookmarkStart w:id="236" w:name="_Toc15162"/>
      <w:bookmarkStart w:id="237" w:name="_Toc524622326"/>
      <w:bookmarkStart w:id="238" w:name="_Toc12521"/>
      <w:bookmarkStart w:id="239" w:name="_Toc32717"/>
      <w:bookmarkStart w:id="240" w:name="_Toc7394"/>
      <w:bookmarkStart w:id="241" w:name="_Toc27895"/>
      <w:bookmarkStart w:id="242" w:name="_Toc32697"/>
      <w:bookmarkStart w:id="243" w:name="_Toc528051242"/>
      <w:bookmarkStart w:id="244" w:name="_Toc380053216"/>
      <w:bookmarkStart w:id="245" w:name="_Toc4342"/>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）投标报价：见评标办法前附表</w:t>
      </w:r>
      <w:r>
        <w:rPr>
          <w:rFonts w:hint="eastAsia" w:ascii="宋体" w:hAnsi="宋体" w:cs="宋体"/>
          <w:color w:val="auto"/>
          <w:sz w:val="24"/>
          <w:highlight w:val="none"/>
          <w:lang w:eastAsia="zh-CN"/>
        </w:rPr>
        <w:t>；</w:t>
      </w:r>
    </w:p>
    <w:p w14:paraId="177E6B73">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）技术评分：见评标办法前附表；</w:t>
      </w:r>
    </w:p>
    <w:p w14:paraId="0FD14770">
      <w:pPr>
        <w:spacing w:line="500" w:lineRule="exact"/>
        <w:rPr>
          <w:rFonts w:hint="eastAsia" w:eastAsia="宋体"/>
          <w:color w:val="auto"/>
          <w:highlight w:val="none"/>
          <w:lang w:eastAsia="zh-CN"/>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）综合评分：见评标办法前附表</w:t>
      </w:r>
      <w:r>
        <w:rPr>
          <w:rFonts w:hint="eastAsia" w:ascii="宋体" w:hAnsi="宋体" w:cs="宋体"/>
          <w:color w:val="auto"/>
          <w:sz w:val="24"/>
          <w:highlight w:val="none"/>
          <w:lang w:eastAsia="zh-CN"/>
        </w:rPr>
        <w:t>。</w:t>
      </w:r>
    </w:p>
    <w:p w14:paraId="11B98802">
      <w:pPr>
        <w:pStyle w:val="3"/>
        <w:tabs>
          <w:tab w:val="left" w:pos="425"/>
        </w:tabs>
        <w:spacing w:before="0" w:after="0" w:line="500" w:lineRule="exact"/>
        <w:ind w:left="-4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3.评标程序</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77D1D36E">
      <w:pPr>
        <w:spacing w:line="500" w:lineRule="exact"/>
        <w:ind w:left="-17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3.1初步评审</w:t>
      </w:r>
    </w:p>
    <w:p w14:paraId="7AEF19B5">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3.1.1 评标委员会依据本章第2.1款规定的评审标准对投标文件进行初步评审，</w:t>
      </w:r>
      <w:r>
        <w:rPr>
          <w:rFonts w:hint="eastAsia" w:ascii="宋体" w:hAnsi="宋体" w:eastAsia="宋体" w:cs="宋体"/>
          <w:color w:val="auto"/>
          <w:kern w:val="0"/>
          <w:sz w:val="24"/>
          <w:highlight w:val="none"/>
        </w:rPr>
        <w:t xml:space="preserve">有一项不符合评审标准的，其投标将被否决。 </w:t>
      </w:r>
    </w:p>
    <w:p w14:paraId="5F20F8E5">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3.1.2 投标人有以下情形之一的，其投标将被否决：</w:t>
      </w:r>
    </w:p>
    <w:p w14:paraId="1ED3FF05">
      <w:pPr>
        <w:tabs>
          <w:tab w:val="left" w:pos="840"/>
        </w:tabs>
        <w:spacing w:line="5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（1）第二章“投标人须知”第1.4.3 项规定的任何一种情形的；</w:t>
      </w:r>
    </w:p>
    <w:p w14:paraId="37CF8284">
      <w:pPr>
        <w:tabs>
          <w:tab w:val="left" w:pos="840"/>
        </w:tabs>
        <w:spacing w:line="5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（2）串通投标或弄虚作假或有其他违法行为的；</w:t>
      </w:r>
    </w:p>
    <w:p w14:paraId="58F73251">
      <w:pPr>
        <w:tabs>
          <w:tab w:val="left" w:pos="840"/>
        </w:tabs>
        <w:spacing w:line="5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（3）不按评标委员会要求澄清、说明或补正的；</w:t>
      </w:r>
    </w:p>
    <w:p w14:paraId="61FB04A7">
      <w:pPr>
        <w:tabs>
          <w:tab w:val="left" w:pos="840"/>
        </w:tabs>
        <w:spacing w:line="5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（4）投标报价超出</w:t>
      </w: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控制价的；</w:t>
      </w:r>
    </w:p>
    <w:p w14:paraId="25C548E6">
      <w:pPr>
        <w:tabs>
          <w:tab w:val="left" w:pos="840"/>
        </w:tabs>
        <w:spacing w:line="5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（5）投标文件未按规定的格式填写，内容不全或关键字迹模糊、无法辨认的；</w:t>
      </w:r>
    </w:p>
    <w:p w14:paraId="34E28789">
      <w:pPr>
        <w:tabs>
          <w:tab w:val="left" w:pos="840"/>
        </w:tabs>
        <w:spacing w:line="5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（6）投标人一个标段递交两份或多份内容不同的投标文件，或在一份投标文件中对同一招标项目报有两个或多个报价，且未声明哪一个有效的；</w:t>
      </w:r>
    </w:p>
    <w:p w14:paraId="404C0259">
      <w:pPr>
        <w:tabs>
          <w:tab w:val="left" w:pos="840"/>
        </w:tabs>
        <w:spacing w:line="5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（7）不符合招标文件中规定的其它实质性要求的；</w:t>
      </w:r>
    </w:p>
    <w:p w14:paraId="3E9F1515">
      <w:pPr>
        <w:tabs>
          <w:tab w:val="left" w:pos="840"/>
        </w:tabs>
        <w:spacing w:line="5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（8）投标文件附有</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不能接受的条件的。</w:t>
      </w:r>
    </w:p>
    <w:p w14:paraId="41EA71F1">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3.1.3 投标报价有算术错误的，评标委员会按以下原则对投标报价进行修正，修正的价格经投标人确认后具有约束力。投标人不接受修正价格的，其投标文件将被否决。</w:t>
      </w:r>
    </w:p>
    <w:p w14:paraId="5CE08C1C">
      <w:pPr>
        <w:tabs>
          <w:tab w:val="left" w:pos="840"/>
        </w:tabs>
        <w:spacing w:line="5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(1）投标文件中的大写金额与小写金额不一致的，以大写金额为准；</w:t>
      </w:r>
    </w:p>
    <w:p w14:paraId="3B388CFB">
      <w:pPr>
        <w:tabs>
          <w:tab w:val="left" w:pos="840"/>
        </w:tabs>
        <w:spacing w:line="50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(2）总价金额与依据单价计算出的结果不一致的，以单价金额为准修正总价，但单价金额小数点有明显错误的除外。</w:t>
      </w:r>
    </w:p>
    <w:p w14:paraId="3DBF69A9">
      <w:pPr>
        <w:spacing w:line="500" w:lineRule="exact"/>
        <w:ind w:left="-17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3.2详细评审</w:t>
      </w:r>
    </w:p>
    <w:p w14:paraId="28D5FC71">
      <w:pPr>
        <w:spacing w:line="500" w:lineRule="exact"/>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w:t>
      </w:r>
      <w:r>
        <w:rPr>
          <w:rFonts w:hint="eastAsia" w:ascii="宋体" w:hAnsi="宋体" w:eastAsia="宋体" w:cs="宋体"/>
          <w:color w:val="auto"/>
          <w:sz w:val="24"/>
          <w:highlight w:val="none"/>
        </w:rPr>
        <w:t>3.2.1 评标委员会按本章第2.2款规定的量化因素和分值进行打分，并计算出综合得分。</w:t>
      </w:r>
    </w:p>
    <w:p w14:paraId="2885CC43">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3.2.2 评分分值计算保留小数点后两位，小数点后第三位“四舍五入”。</w:t>
      </w:r>
    </w:p>
    <w:p w14:paraId="3C309B0D">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3.2.3 投标人得分=投标报价得分+技术部分得分+综合部分得分</w:t>
      </w:r>
    </w:p>
    <w:p w14:paraId="7FFED600">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3.2.4 评标委员会发现投标人的报价明显低于其他投标报价，或者在设有标底时明显低于标底，使得其投标报价可能低于其个别成本的，应当要求该投标人作出说明并提供相应的证明材料。投标人不能合理说明或者不能提供相应证明材料的，由评标委员会认定该投标人以低于成本报价竞标，其投标文件将被否决。</w:t>
      </w:r>
    </w:p>
    <w:p w14:paraId="77B0E791">
      <w:pPr>
        <w:spacing w:line="500" w:lineRule="exact"/>
        <w:ind w:left="-17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3.3投标文件的澄清和补正</w:t>
      </w:r>
    </w:p>
    <w:p w14:paraId="5D43CF85">
      <w:pPr>
        <w:spacing w:line="500" w:lineRule="exact"/>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w:t>
      </w:r>
      <w:r>
        <w:rPr>
          <w:rFonts w:hint="eastAsia" w:ascii="宋体" w:hAnsi="宋体" w:eastAsia="宋体" w:cs="宋体"/>
          <w:color w:val="auto"/>
          <w:sz w:val="24"/>
          <w:highlight w:val="none"/>
        </w:rPr>
        <w:t>3.3.1 在评标过程中，评标委员会可以要求投标人对所提交投标文件中不明确的内容进行澄清或说明，或者对细微偏差进行补正。评标委员会不接受投标人主动提出的澄清、说明或补正。</w:t>
      </w:r>
    </w:p>
    <w:p w14:paraId="12E101BB">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3.3.2 澄清、说明和补正不得改变投标文件的实质性内容（算术性错误修正的除外）。投标人的澄清、说明和补正属于投标文件的组成部分。</w:t>
      </w:r>
    </w:p>
    <w:p w14:paraId="4DB4F763">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3.3.3 评标委员会对投标人提交的澄清、说明或补正有疑问的，可以要求投标人进一步澄清、说明或补正，直至满足评标委员会的要求。</w:t>
      </w:r>
    </w:p>
    <w:p w14:paraId="1D0651D8">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3.3.4 评标时，评标委员会对电子化投标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33FA7D2E">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3.3.5 如评标委员会对需要回复的投标人连续三次致电未接通的，视为投标人放弃回复，评标委员会将自行对需要回复的内容进行认定。</w:t>
      </w:r>
    </w:p>
    <w:p w14:paraId="594B3728">
      <w:pPr>
        <w:spacing w:line="500" w:lineRule="exact"/>
        <w:ind w:left="-17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3.4评标结果</w:t>
      </w:r>
    </w:p>
    <w:p w14:paraId="3F36BA78">
      <w:pPr>
        <w:spacing w:line="500" w:lineRule="exact"/>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 xml:space="preserve">   </w:t>
      </w:r>
      <w:r>
        <w:rPr>
          <w:rFonts w:hint="eastAsia" w:ascii="宋体" w:hAnsi="宋体" w:eastAsia="宋体" w:cs="宋体"/>
          <w:color w:val="auto"/>
          <w:kern w:val="0"/>
          <w:sz w:val="24"/>
          <w:highlight w:val="none"/>
        </w:rPr>
        <w:t>3.4.1 除第二章“投标人须知”前附表授权直接确定中标人外，评标委员会按照得分由高到低的顺序推荐中标候选人，并标明排序。</w:t>
      </w:r>
    </w:p>
    <w:p w14:paraId="7DCBFC10">
      <w:pPr>
        <w:spacing w:line="500" w:lineRule="exact"/>
        <w:rPr>
          <w:rFonts w:hint="eastAsia" w:ascii="宋体" w:hAnsi="宋体" w:eastAsia="宋体" w:cs="宋体"/>
          <w:color w:val="auto"/>
          <w:highlight w:val="none"/>
        </w:rPr>
      </w:pPr>
      <w:r>
        <w:rPr>
          <w:rFonts w:hint="eastAsia" w:ascii="宋体" w:hAnsi="宋体" w:eastAsia="宋体" w:cs="宋体"/>
          <w:color w:val="auto"/>
          <w:kern w:val="0"/>
          <w:sz w:val="24"/>
          <w:highlight w:val="none"/>
        </w:rPr>
        <w:t xml:space="preserve">   3.4.2 评标委员会完成评标后，应当向</w:t>
      </w:r>
      <w:r>
        <w:rPr>
          <w:rFonts w:hint="eastAsia" w:ascii="宋体" w:hAnsi="宋体" w:cs="宋体"/>
          <w:color w:val="auto"/>
          <w:kern w:val="0"/>
          <w:sz w:val="24"/>
          <w:highlight w:val="none"/>
          <w:lang w:eastAsia="zh-CN"/>
        </w:rPr>
        <w:t>采购人</w:t>
      </w:r>
      <w:r>
        <w:rPr>
          <w:rFonts w:hint="eastAsia" w:ascii="宋体" w:hAnsi="宋体" w:eastAsia="宋体" w:cs="宋体"/>
          <w:color w:val="auto"/>
          <w:kern w:val="0"/>
          <w:sz w:val="24"/>
          <w:highlight w:val="none"/>
        </w:rPr>
        <w:t>提交评标报告。</w:t>
      </w:r>
    </w:p>
    <w:p w14:paraId="08972955">
      <w:pPr>
        <w:snapToGrid w:val="0"/>
        <w:spacing w:line="450" w:lineRule="exact"/>
        <w:jc w:val="both"/>
        <w:outlineLvl w:val="1"/>
        <w:rPr>
          <w:rFonts w:hint="eastAsia" w:ascii="宋体" w:hAnsi="宋体" w:eastAsia="宋体" w:cs="宋体"/>
          <w:b/>
          <w:bCs/>
          <w:color w:val="auto"/>
          <w:kern w:val="0"/>
          <w:sz w:val="24"/>
          <w:highlight w:val="none"/>
        </w:rPr>
      </w:pPr>
      <w:bookmarkStart w:id="246" w:name="_Toc24784"/>
    </w:p>
    <w:p w14:paraId="2FDEA0BA">
      <w:pPr>
        <w:jc w:val="center"/>
        <w:outlineLvl w:val="0"/>
        <w:rPr>
          <w:rFonts w:hint="eastAsia" w:ascii="宋体" w:hAnsi="宋体" w:eastAsia="宋体" w:cs="宋体"/>
          <w:b/>
          <w:bCs/>
          <w:color w:val="auto"/>
          <w:sz w:val="32"/>
          <w:szCs w:val="32"/>
          <w:highlight w:val="none"/>
        </w:rPr>
      </w:pPr>
      <w:bookmarkStart w:id="247" w:name="_Toc15242"/>
    </w:p>
    <w:p w14:paraId="0C8CCCD3">
      <w:pPr>
        <w:jc w:val="center"/>
        <w:outlineLvl w:val="0"/>
        <w:rPr>
          <w:rFonts w:hint="eastAsia" w:ascii="宋体" w:hAnsi="宋体" w:eastAsia="宋体" w:cs="宋体"/>
          <w:b/>
          <w:bCs/>
          <w:color w:val="auto"/>
          <w:sz w:val="32"/>
          <w:szCs w:val="32"/>
          <w:highlight w:val="none"/>
        </w:rPr>
      </w:pPr>
    </w:p>
    <w:p w14:paraId="77A8CDAF">
      <w:pPr>
        <w:jc w:val="center"/>
        <w:outlineLvl w:val="0"/>
        <w:rPr>
          <w:rFonts w:hint="eastAsia" w:ascii="宋体" w:hAnsi="宋体" w:eastAsia="宋体" w:cs="宋体"/>
          <w:b/>
          <w:bCs/>
          <w:color w:val="auto"/>
          <w:sz w:val="32"/>
          <w:szCs w:val="32"/>
          <w:highlight w:val="none"/>
        </w:rPr>
      </w:pPr>
    </w:p>
    <w:p w14:paraId="522BDF94">
      <w:pPr>
        <w:jc w:val="center"/>
        <w:outlineLvl w:val="0"/>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t>第四章  合同条款及格式</w:t>
      </w:r>
      <w:bookmarkEnd w:id="247"/>
    </w:p>
    <w:p w14:paraId="40C340EA">
      <w:pPr>
        <w:snapToGrid w:val="0"/>
        <w:spacing w:line="450" w:lineRule="exact"/>
        <w:ind w:firstLine="482" w:firstLineChars="200"/>
        <w:jc w:val="center"/>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w:t>
      </w:r>
      <w:r>
        <w:rPr>
          <w:rFonts w:hint="eastAsia" w:ascii="宋体" w:hAnsi="宋体" w:cs="宋体"/>
          <w:b/>
          <w:bCs/>
          <w:color w:val="auto"/>
          <w:kern w:val="0"/>
          <w:sz w:val="24"/>
          <w:highlight w:val="none"/>
          <w:lang w:eastAsia="zh-CN"/>
        </w:rPr>
        <w:t>采购人</w:t>
      </w:r>
      <w:r>
        <w:rPr>
          <w:rFonts w:hint="eastAsia" w:ascii="宋体" w:hAnsi="宋体" w:eastAsia="宋体" w:cs="宋体"/>
          <w:b/>
          <w:bCs/>
          <w:color w:val="auto"/>
          <w:kern w:val="0"/>
          <w:sz w:val="24"/>
          <w:highlight w:val="none"/>
        </w:rPr>
        <w:t>可根据采购项目的实际情况增减条款和内容）</w:t>
      </w:r>
      <w:bookmarkEnd w:id="246"/>
    </w:p>
    <w:p w14:paraId="787E24A7">
      <w:pPr>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highlight w:val="none"/>
        </w:rPr>
      </w:pPr>
    </w:p>
    <w:p w14:paraId="636E070A">
      <w:pPr>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甲方：</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eastAsia="zh-CN"/>
        </w:rPr>
        <w:t>（</w:t>
      </w:r>
      <w:r>
        <w:rPr>
          <w:rFonts w:hint="eastAsia" w:ascii="宋体" w:hAnsi="宋体" w:cs="宋体"/>
          <w:color w:val="auto"/>
          <w:kern w:val="0"/>
          <w:sz w:val="24"/>
          <w:highlight w:val="none"/>
          <w:lang w:val="en-US" w:eastAsia="zh-CN"/>
        </w:rPr>
        <w:t>采购人</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 xml:space="preserve">         </w:t>
      </w:r>
    </w:p>
    <w:p w14:paraId="75D7FE2D">
      <w:pPr>
        <w:keepNext w:val="0"/>
        <w:keepLines w:val="0"/>
        <w:pageBreakBefore w:val="0"/>
        <w:kinsoku/>
        <w:overflowPunct/>
        <w:topLinePunct w:val="0"/>
        <w:autoSpaceDE/>
        <w:autoSpaceDN/>
        <w:bidi w:val="0"/>
        <w:adjustRightInd/>
        <w:snapToGrid w:val="0"/>
        <w:spacing w:line="360" w:lineRule="auto"/>
        <w:ind w:firstLine="240" w:firstLineChars="1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乙方：</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（中标人）</w:t>
      </w:r>
    </w:p>
    <w:p w14:paraId="21854FA0">
      <w:pPr>
        <w:keepNext w:val="0"/>
        <w:keepLines w:val="0"/>
        <w:pageBreakBefore w:val="0"/>
        <w:kinsoku/>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甲、乙双方根据《中华人民共和国政府采购法》、《中华人民共和国民法典》等法律法规的规定，按照招标结果签订本合同。</w:t>
      </w:r>
    </w:p>
    <w:p w14:paraId="2CE71026">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color w:val="auto"/>
          <w:sz w:val="24"/>
          <w:highlight w:val="none"/>
        </w:rPr>
      </w:pPr>
      <w:bookmarkStart w:id="248" w:name="_Toc4477"/>
      <w:r>
        <w:rPr>
          <w:rFonts w:hint="eastAsia" w:ascii="宋体" w:hAnsi="宋体" w:eastAsia="宋体" w:cs="宋体"/>
          <w:b/>
          <w:color w:val="auto"/>
          <w:sz w:val="24"/>
          <w:highlight w:val="none"/>
        </w:rPr>
        <w:t>1.服务内容</w:t>
      </w:r>
      <w:bookmarkEnd w:id="248"/>
    </w:p>
    <w:p w14:paraId="7A2B6E89">
      <w:pPr>
        <w:keepNext w:val="0"/>
        <w:keepLines w:val="0"/>
        <w:pageBreakBefore w:val="0"/>
        <w:kinsoku/>
        <w:overflowPunct/>
        <w:topLinePunct w:val="0"/>
        <w:autoSpaceDE/>
        <w:autoSpaceDN/>
        <w:bidi w:val="0"/>
        <w:adjustRightInd/>
        <w:snapToGrid w:val="0"/>
        <w:spacing w:line="360" w:lineRule="auto"/>
        <w:ind w:left="479" w:leftChars="228"/>
        <w:jc w:val="left"/>
        <w:textAlignment w:val="auto"/>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kern w:val="0"/>
          <w:sz w:val="24"/>
          <w:highlight w:val="none"/>
          <w:lang w:val="en-US" w:eastAsia="zh-CN"/>
        </w:rPr>
        <w:t>1.1</w:t>
      </w:r>
      <w:r>
        <w:rPr>
          <w:rFonts w:hint="eastAsia" w:ascii="宋体" w:hAnsi="宋体" w:eastAsia="宋体" w:cs="宋体"/>
          <w:b w:val="0"/>
          <w:bCs w:val="0"/>
          <w:color w:val="auto"/>
          <w:kern w:val="0"/>
          <w:sz w:val="24"/>
          <w:highlight w:val="none"/>
        </w:rPr>
        <w:t>项目名称：</w:t>
      </w:r>
      <w:r>
        <w:rPr>
          <w:rFonts w:hint="eastAsia" w:ascii="宋体" w:hAnsi="宋体" w:eastAsia="宋体" w:cs="宋体"/>
          <w:b w:val="0"/>
          <w:bCs w:val="0"/>
          <w:color w:val="auto"/>
          <w:sz w:val="24"/>
          <w:highlight w:val="none"/>
          <w:u w:val="single"/>
          <w:lang w:val="en-US" w:eastAsia="zh-CN"/>
        </w:rPr>
        <w:t xml:space="preserve">                  </w:t>
      </w:r>
    </w:p>
    <w:p w14:paraId="2505652E">
      <w:pPr>
        <w:keepNext w:val="0"/>
        <w:keepLines w:val="0"/>
        <w:pageBreakBefore w:val="0"/>
        <w:kinsoku/>
        <w:overflowPunct/>
        <w:topLinePunct w:val="0"/>
        <w:autoSpaceDE/>
        <w:autoSpaceDN/>
        <w:bidi w:val="0"/>
        <w:adjustRightInd/>
        <w:snapToGrid w:val="0"/>
        <w:spacing w:line="360" w:lineRule="auto"/>
        <w:ind w:left="479" w:leftChars="228"/>
        <w:jc w:val="left"/>
        <w:textAlignment w:val="auto"/>
        <w:rPr>
          <w:rFonts w:hint="eastAsia" w:ascii="宋体" w:hAnsi="宋体" w:eastAsia="宋体" w:cs="宋体"/>
          <w:b w:val="0"/>
          <w:bCs w:val="0"/>
          <w:color w:val="auto"/>
          <w:kern w:val="0"/>
          <w:sz w:val="24"/>
          <w:highlight w:val="none"/>
          <w:u w:val="single"/>
        </w:rPr>
      </w:pPr>
      <w:r>
        <w:rPr>
          <w:rFonts w:hint="eastAsia" w:ascii="宋体" w:hAnsi="宋体" w:eastAsia="宋体" w:cs="宋体"/>
          <w:b w:val="0"/>
          <w:bCs w:val="0"/>
          <w:color w:val="auto"/>
          <w:kern w:val="0"/>
          <w:sz w:val="24"/>
          <w:highlight w:val="none"/>
          <w:lang w:val="en-US" w:eastAsia="zh-CN"/>
        </w:rPr>
        <w:t>1.2项目</w:t>
      </w:r>
      <w:r>
        <w:rPr>
          <w:rFonts w:hint="eastAsia" w:ascii="宋体" w:hAnsi="宋体" w:eastAsia="宋体" w:cs="宋体"/>
          <w:b w:val="0"/>
          <w:bCs w:val="0"/>
          <w:color w:val="auto"/>
          <w:kern w:val="0"/>
          <w:sz w:val="24"/>
          <w:highlight w:val="none"/>
        </w:rPr>
        <w:t>编号：</w:t>
      </w:r>
      <w:r>
        <w:rPr>
          <w:rFonts w:hint="eastAsia" w:ascii="宋体" w:hAnsi="宋体" w:eastAsia="宋体" w:cs="宋体"/>
          <w:b w:val="0"/>
          <w:bCs w:val="0"/>
          <w:color w:val="auto"/>
          <w:sz w:val="24"/>
          <w:highlight w:val="none"/>
          <w:u w:val="single"/>
          <w:lang w:val="en-US" w:eastAsia="zh-CN"/>
        </w:rPr>
        <w:t xml:space="preserve">                  </w:t>
      </w:r>
    </w:p>
    <w:p w14:paraId="47CC471D">
      <w:pPr>
        <w:keepNext w:val="0"/>
        <w:keepLines w:val="0"/>
        <w:pageBreakBefore w:val="0"/>
        <w:kinsoku/>
        <w:overflowPunct/>
        <w:topLinePunct w:val="0"/>
        <w:autoSpaceDE/>
        <w:autoSpaceDN/>
        <w:bidi w:val="0"/>
        <w:adjustRightInd/>
        <w:snapToGrid w:val="0"/>
        <w:spacing w:line="360" w:lineRule="auto"/>
        <w:ind w:left="479" w:leftChars="228"/>
        <w:jc w:val="lef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1.3项目概况：</w:t>
      </w:r>
      <w:r>
        <w:rPr>
          <w:rFonts w:hint="eastAsia" w:ascii="宋体" w:hAnsi="宋体" w:eastAsia="宋体" w:cs="宋体"/>
          <w:b w:val="0"/>
          <w:bCs w:val="0"/>
          <w:color w:val="auto"/>
          <w:sz w:val="24"/>
          <w:highlight w:val="none"/>
          <w:u w:val="single"/>
          <w:lang w:val="en-US" w:eastAsia="zh-CN"/>
        </w:rPr>
        <w:t xml:space="preserve">                  </w:t>
      </w:r>
    </w:p>
    <w:p w14:paraId="6E748B48">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49" w:name="_Toc3599"/>
      <w:r>
        <w:rPr>
          <w:rFonts w:hint="eastAsia" w:ascii="宋体" w:hAnsi="宋体" w:eastAsia="宋体" w:cs="宋体"/>
          <w:b/>
          <w:color w:val="auto"/>
          <w:sz w:val="24"/>
          <w:highlight w:val="none"/>
        </w:rPr>
        <w:t>2.合同金额</w:t>
      </w:r>
      <w:bookmarkEnd w:id="249"/>
    </w:p>
    <w:p w14:paraId="48707691">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本合同金额为（大写）：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小写</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p w14:paraId="5F2C19F9">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50" w:name="_Toc22970"/>
      <w:r>
        <w:rPr>
          <w:rFonts w:hint="eastAsia" w:ascii="宋体" w:hAnsi="宋体" w:eastAsia="宋体" w:cs="宋体"/>
          <w:b/>
          <w:color w:val="auto"/>
          <w:sz w:val="24"/>
          <w:highlight w:val="none"/>
        </w:rPr>
        <w:t>3.服务期限和服务地点</w:t>
      </w:r>
      <w:bookmarkEnd w:id="250"/>
    </w:p>
    <w:p w14:paraId="1D8DACEF">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r>
        <w:rPr>
          <w:rFonts w:hint="eastAsia" w:ascii="宋体" w:hAnsi="宋体" w:cs="宋体"/>
          <w:color w:val="auto"/>
          <w:sz w:val="24"/>
          <w:highlight w:val="none"/>
          <w:lang w:val="en-US" w:eastAsia="zh-CN"/>
        </w:rPr>
        <w:t>服务期</w:t>
      </w:r>
      <w:r>
        <w:rPr>
          <w:rFonts w:hint="eastAsia" w:ascii="宋体" w:hAnsi="宋体" w:eastAsia="宋体" w:cs="宋体"/>
          <w:color w:val="auto"/>
          <w:sz w:val="24"/>
          <w:highlight w:val="none"/>
        </w:rPr>
        <w:t>：</w:t>
      </w:r>
      <w:r>
        <w:rPr>
          <w:rFonts w:hint="eastAsia" w:ascii="宋体" w:hAnsi="宋体" w:eastAsia="宋体" w:cs="宋体"/>
          <w:b w:val="0"/>
          <w:bCs w:val="0"/>
          <w:color w:val="auto"/>
          <w:sz w:val="24"/>
          <w:highlight w:val="none"/>
          <w:u w:val="single"/>
          <w:lang w:val="en-US" w:eastAsia="zh-CN"/>
        </w:rPr>
        <w:t xml:space="preserve">                  </w:t>
      </w:r>
    </w:p>
    <w:p w14:paraId="7967992D">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3.2服务地点：</w:t>
      </w:r>
      <w:r>
        <w:rPr>
          <w:rFonts w:hint="eastAsia" w:ascii="宋体" w:hAnsi="宋体" w:eastAsia="宋体" w:cs="宋体"/>
          <w:b w:val="0"/>
          <w:bCs w:val="0"/>
          <w:color w:val="auto"/>
          <w:sz w:val="24"/>
          <w:highlight w:val="none"/>
          <w:u w:val="single"/>
          <w:lang w:val="en-US" w:eastAsia="zh-CN"/>
        </w:rPr>
        <w:t xml:space="preserve">                  </w:t>
      </w:r>
    </w:p>
    <w:p w14:paraId="3AD94FA7">
      <w:pPr>
        <w:keepNext w:val="0"/>
        <w:keepLines w:val="0"/>
        <w:pageBreakBefore w:val="0"/>
        <w:numPr>
          <w:ilvl w:val="0"/>
          <w:numId w:val="2"/>
        </w:numPr>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51" w:name="_Toc11008"/>
      <w:r>
        <w:rPr>
          <w:rFonts w:hint="eastAsia" w:ascii="宋体" w:hAnsi="宋体" w:eastAsia="宋体" w:cs="宋体"/>
          <w:b/>
          <w:color w:val="auto"/>
          <w:sz w:val="24"/>
          <w:highlight w:val="none"/>
        </w:rPr>
        <w:t>付款方式</w:t>
      </w:r>
      <w:bookmarkEnd w:id="251"/>
    </w:p>
    <w:p w14:paraId="185C4809">
      <w:pPr>
        <w:numPr>
          <w:ilvl w:val="0"/>
          <w:numId w:val="0"/>
        </w:numPr>
        <w:spacing w:line="360" w:lineRule="auto"/>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rPr>
        <w:t xml:space="preserve">    付款方式：</w:t>
      </w:r>
      <w:r>
        <w:rPr>
          <w:rFonts w:hint="eastAsia" w:ascii="宋体" w:hAnsi="宋体" w:cs="宋体"/>
          <w:b w:val="0"/>
          <w:bCs w:val="0"/>
          <w:color w:val="auto"/>
          <w:sz w:val="24"/>
          <w:highlight w:val="none"/>
          <w:lang w:val="en-US" w:eastAsia="zh-CN"/>
        </w:rPr>
        <w:t>（1）</w:t>
      </w:r>
      <w:r>
        <w:rPr>
          <w:rFonts w:hint="eastAsia" w:ascii="宋体" w:hAnsi="宋体" w:eastAsia="宋体" w:cs="宋体"/>
          <w:b w:val="0"/>
          <w:bCs w:val="0"/>
          <w:color w:val="auto"/>
          <w:sz w:val="24"/>
          <w:highlight w:val="none"/>
          <w:lang w:val="en-US" w:eastAsia="zh-CN"/>
        </w:rPr>
        <w:t>本合同签订后，乙方完成项目总工程量的50%，甲方于</w:t>
      </w:r>
      <w:r>
        <w:rPr>
          <w:rFonts w:hint="eastAsia" w:ascii="宋体" w:hAnsi="宋体" w:cs="宋体"/>
          <w:b w:val="0"/>
          <w:bCs w:val="0"/>
          <w:color w:val="auto"/>
          <w:sz w:val="24"/>
          <w:highlight w:val="none"/>
          <w:lang w:val="en-US" w:eastAsia="zh-CN"/>
        </w:rPr>
        <w:t>7</w:t>
      </w:r>
      <w:r>
        <w:rPr>
          <w:rFonts w:hint="eastAsia" w:ascii="宋体" w:hAnsi="宋体" w:eastAsia="宋体" w:cs="宋体"/>
          <w:b w:val="0"/>
          <w:bCs w:val="0"/>
          <w:color w:val="auto"/>
          <w:sz w:val="24"/>
          <w:highlight w:val="none"/>
          <w:lang w:val="en-US" w:eastAsia="zh-CN"/>
        </w:rPr>
        <w:t>个工作日内支付合同总金额的30%；</w:t>
      </w:r>
    </w:p>
    <w:p w14:paraId="2D642346">
      <w:pPr>
        <w:numPr>
          <w:ilvl w:val="0"/>
          <w:numId w:val="0"/>
        </w:numPr>
        <w:spacing w:line="360" w:lineRule="auto"/>
        <w:ind w:leftChars="0" w:firstLine="480" w:firstLineChars="2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lang w:val="en-US" w:eastAsia="zh-CN"/>
        </w:rPr>
        <w:t>项目全部完工后，甲方于</w:t>
      </w:r>
      <w:r>
        <w:rPr>
          <w:rFonts w:hint="eastAsia" w:ascii="宋体" w:hAnsi="宋体" w:cs="宋体"/>
          <w:b w:val="0"/>
          <w:bCs w:val="0"/>
          <w:color w:val="auto"/>
          <w:sz w:val="24"/>
          <w:highlight w:val="none"/>
          <w:lang w:val="en-US" w:eastAsia="zh-CN"/>
        </w:rPr>
        <w:t>7</w:t>
      </w:r>
      <w:r>
        <w:rPr>
          <w:rFonts w:hint="eastAsia" w:ascii="宋体" w:hAnsi="宋体" w:eastAsia="宋体" w:cs="宋体"/>
          <w:b w:val="0"/>
          <w:bCs w:val="0"/>
          <w:color w:val="auto"/>
          <w:sz w:val="24"/>
          <w:highlight w:val="none"/>
          <w:lang w:val="en-US" w:eastAsia="zh-CN"/>
        </w:rPr>
        <w:t>个工作日内支付至合同总金额的60%</w:t>
      </w:r>
      <w:r>
        <w:rPr>
          <w:rFonts w:hint="eastAsia" w:ascii="宋体" w:hAnsi="宋体" w:cs="宋体"/>
          <w:b w:val="0"/>
          <w:bCs w:val="0"/>
          <w:color w:val="auto"/>
          <w:sz w:val="24"/>
          <w:highlight w:val="none"/>
          <w:lang w:val="en-US" w:eastAsia="zh-CN"/>
        </w:rPr>
        <w:t>；</w:t>
      </w:r>
    </w:p>
    <w:p w14:paraId="249EC8D1">
      <w:pPr>
        <w:numPr>
          <w:ilvl w:val="0"/>
          <w:numId w:val="0"/>
        </w:numPr>
        <w:spacing w:line="360" w:lineRule="auto"/>
        <w:ind w:leftChars="0" w:firstLine="480" w:firstLineChars="200"/>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（3）项目经甲方验收合格后，甲方于7个工作日内支付至合同总金额的90%；</w:t>
      </w:r>
    </w:p>
    <w:p w14:paraId="1D18D348">
      <w:pPr>
        <w:pStyle w:val="41"/>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color w:val="auto"/>
          <w:sz w:val="24"/>
          <w:highlight w:val="none"/>
          <w:u w:val="single"/>
          <w:lang w:val="en-US" w:eastAsia="zh-CN"/>
        </w:rPr>
      </w:pPr>
      <w:r>
        <w:rPr>
          <w:rFonts w:hint="eastAsia" w:ascii="宋体" w:hAnsi="宋体" w:cs="宋体"/>
          <w:b w:val="0"/>
          <w:bCs w:val="0"/>
          <w:color w:val="auto"/>
          <w:sz w:val="24"/>
          <w:highlight w:val="none"/>
          <w:lang w:val="en-US" w:eastAsia="zh-CN"/>
        </w:rPr>
        <w:t>（4）剩余合同总金额的10%作为质保金，自项目验收合格之日起，至质保期满且无质量问题后，甲方于7个工作日内一次性付清。</w:t>
      </w:r>
      <w:r>
        <w:rPr>
          <w:rFonts w:hint="eastAsia" w:ascii="宋体" w:hAnsi="宋体" w:cs="宋体"/>
          <w:b/>
          <w:bCs/>
          <w:color w:val="auto"/>
          <w:sz w:val="24"/>
          <w:highlight w:val="none"/>
          <w:lang w:val="en-US" w:eastAsia="zh-CN"/>
        </w:rPr>
        <w:t>（注：质保仅针对平台建设及监控补点建设）</w:t>
      </w:r>
    </w:p>
    <w:p w14:paraId="7CADD942">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52" w:name="_Toc28940"/>
      <w:r>
        <w:rPr>
          <w:rFonts w:hint="eastAsia" w:ascii="宋体" w:hAnsi="宋体" w:eastAsia="宋体" w:cs="宋体"/>
          <w:b/>
          <w:color w:val="auto"/>
          <w:sz w:val="24"/>
          <w:highlight w:val="none"/>
        </w:rPr>
        <w:t>5.税费</w:t>
      </w:r>
      <w:bookmarkEnd w:id="252"/>
    </w:p>
    <w:p w14:paraId="17670214">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本合同执行中相关的一切税费均由乙方负担。</w:t>
      </w:r>
    </w:p>
    <w:p w14:paraId="3B5B0A70">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53" w:name="_Toc11581"/>
      <w:r>
        <w:rPr>
          <w:rFonts w:hint="eastAsia" w:ascii="宋体" w:hAnsi="宋体" w:eastAsia="宋体" w:cs="宋体"/>
          <w:b/>
          <w:color w:val="auto"/>
          <w:sz w:val="24"/>
          <w:highlight w:val="none"/>
        </w:rPr>
        <w:t>6.技术资料</w:t>
      </w:r>
      <w:bookmarkEnd w:id="253"/>
    </w:p>
    <w:p w14:paraId="148D7188">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没有甲方事先书面同意，乙方不得将由甲方提供的有关合同或任何合同条文、规格、计划、图纸等资料提供给与履行本合同无关的任何其他人。</w:t>
      </w:r>
    </w:p>
    <w:p w14:paraId="1E23402D">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54" w:name="_Toc23002"/>
      <w:r>
        <w:rPr>
          <w:rFonts w:hint="eastAsia" w:ascii="宋体" w:hAnsi="宋体" w:eastAsia="宋体" w:cs="宋体"/>
          <w:b/>
          <w:color w:val="auto"/>
          <w:sz w:val="24"/>
          <w:highlight w:val="none"/>
        </w:rPr>
        <w:t>7.服务质量</w:t>
      </w:r>
      <w:bookmarkEnd w:id="254"/>
    </w:p>
    <w:p w14:paraId="29C807B6">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乙方保证所提供的服务符合招标需求及相关法律、法规要求。</w:t>
      </w:r>
    </w:p>
    <w:p w14:paraId="1B5ADD04">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55" w:name="_Toc19426"/>
      <w:r>
        <w:rPr>
          <w:rFonts w:hint="eastAsia" w:ascii="宋体" w:hAnsi="宋体" w:eastAsia="宋体" w:cs="宋体"/>
          <w:b/>
          <w:color w:val="auto"/>
          <w:sz w:val="24"/>
          <w:highlight w:val="none"/>
        </w:rPr>
        <w:t>8.无产权瑕疵条款</w:t>
      </w:r>
      <w:bookmarkEnd w:id="255"/>
    </w:p>
    <w:p w14:paraId="02286A1D">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乙方保证所提供的服务的所有权完全属于乙方且无任何抵押、查封等产权瑕疵。如有产权瑕疵的，视为乙方违约。乙方应负担由此而产生的一切损失。</w:t>
      </w:r>
    </w:p>
    <w:p w14:paraId="269665C5">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bCs w:val="0"/>
          <w:color w:val="auto"/>
          <w:sz w:val="24"/>
          <w:highlight w:val="none"/>
        </w:rPr>
      </w:pPr>
      <w:bookmarkStart w:id="256" w:name="_Toc31707"/>
      <w:r>
        <w:rPr>
          <w:rFonts w:hint="eastAsia" w:ascii="宋体" w:hAnsi="宋体" w:cs="宋体"/>
          <w:b/>
          <w:bCs w:val="0"/>
          <w:color w:val="auto"/>
          <w:sz w:val="24"/>
          <w:highlight w:val="none"/>
          <w:lang w:val="en-US" w:eastAsia="zh-CN"/>
        </w:rPr>
        <w:t>9</w:t>
      </w:r>
      <w:r>
        <w:rPr>
          <w:rFonts w:hint="eastAsia" w:ascii="宋体" w:hAnsi="宋体" w:eastAsia="宋体" w:cs="宋体"/>
          <w:b/>
          <w:bCs w:val="0"/>
          <w:color w:val="auto"/>
          <w:sz w:val="24"/>
          <w:highlight w:val="none"/>
        </w:rPr>
        <w:t>.转包或分包</w:t>
      </w:r>
      <w:bookmarkEnd w:id="256"/>
    </w:p>
    <w:p w14:paraId="508A6582">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bCs/>
          <w:color w:val="auto"/>
          <w:sz w:val="24"/>
          <w:highlight w:val="none"/>
        </w:rPr>
      </w:pP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rPr>
        <w:t>.1</w:t>
      </w:r>
      <w:r>
        <w:rPr>
          <w:rFonts w:hint="eastAsia" w:ascii="宋体" w:hAnsi="宋体" w:cs="宋体"/>
          <w:color w:val="auto"/>
          <w:sz w:val="24"/>
          <w:highlight w:val="none"/>
          <w:lang w:val="en-US" w:eastAsia="zh-CN"/>
        </w:rPr>
        <w:t>乙方</w:t>
      </w:r>
      <w:r>
        <w:rPr>
          <w:rFonts w:hint="eastAsia" w:ascii="宋体" w:hAnsi="宋体" w:eastAsia="宋体" w:cs="宋体"/>
          <w:color w:val="auto"/>
          <w:sz w:val="24"/>
          <w:highlight w:val="none"/>
        </w:rPr>
        <w:t>未经</w:t>
      </w:r>
      <w:r>
        <w:rPr>
          <w:rFonts w:hint="eastAsia" w:ascii="宋体" w:hAnsi="宋体" w:cs="宋体"/>
          <w:color w:val="auto"/>
          <w:sz w:val="24"/>
          <w:highlight w:val="none"/>
          <w:lang w:eastAsia="zh-CN"/>
        </w:rPr>
        <w:t>甲方</w:t>
      </w:r>
      <w:r>
        <w:rPr>
          <w:rFonts w:hint="eastAsia" w:ascii="宋体" w:hAnsi="宋体" w:eastAsia="宋体" w:cs="宋体"/>
          <w:color w:val="auto"/>
          <w:sz w:val="24"/>
          <w:highlight w:val="none"/>
        </w:rPr>
        <w:t>同意，不得将所承包</w:t>
      </w:r>
      <w:r>
        <w:rPr>
          <w:rFonts w:hint="eastAsia" w:ascii="宋体" w:hAnsi="宋体" w:cs="宋体"/>
          <w:color w:val="auto"/>
          <w:sz w:val="24"/>
          <w:highlight w:val="none"/>
          <w:lang w:eastAsia="zh-CN"/>
        </w:rPr>
        <w:t>项目</w:t>
      </w:r>
      <w:r>
        <w:rPr>
          <w:rFonts w:hint="eastAsia" w:ascii="宋体" w:hAnsi="宋体" w:eastAsia="宋体" w:cs="宋体"/>
          <w:color w:val="auto"/>
          <w:sz w:val="24"/>
          <w:highlight w:val="none"/>
        </w:rPr>
        <w:t>的任何部分分包，也不允许转包给他人，更不得将其承包的全部</w:t>
      </w:r>
      <w:r>
        <w:rPr>
          <w:rFonts w:hint="eastAsia" w:ascii="宋体" w:hAnsi="宋体" w:cs="宋体"/>
          <w:color w:val="auto"/>
          <w:sz w:val="24"/>
          <w:highlight w:val="none"/>
          <w:lang w:eastAsia="zh-CN"/>
        </w:rPr>
        <w:t>项目</w:t>
      </w:r>
      <w:r>
        <w:rPr>
          <w:rFonts w:hint="eastAsia" w:ascii="宋体" w:hAnsi="宋体" w:eastAsia="宋体" w:cs="宋体"/>
          <w:color w:val="auto"/>
          <w:sz w:val="24"/>
          <w:highlight w:val="none"/>
        </w:rPr>
        <w:t>肢解以后以分包的名义分别转包给他人。如发现转包，</w:t>
      </w:r>
      <w:r>
        <w:rPr>
          <w:rFonts w:hint="eastAsia" w:ascii="宋体" w:hAnsi="宋体" w:cs="宋体"/>
          <w:color w:val="auto"/>
          <w:sz w:val="24"/>
          <w:highlight w:val="none"/>
          <w:lang w:eastAsia="zh-CN"/>
        </w:rPr>
        <w:t>甲方</w:t>
      </w:r>
      <w:r>
        <w:rPr>
          <w:rFonts w:hint="eastAsia" w:ascii="宋体" w:hAnsi="宋体" w:eastAsia="宋体" w:cs="宋体"/>
          <w:color w:val="auto"/>
          <w:sz w:val="24"/>
          <w:highlight w:val="none"/>
        </w:rPr>
        <w:t>有权终止合同，由此而造成的经济损失，由</w:t>
      </w:r>
      <w:r>
        <w:rPr>
          <w:rFonts w:hint="eastAsia" w:ascii="宋体" w:hAnsi="宋体" w:cs="宋体"/>
          <w:color w:val="auto"/>
          <w:sz w:val="24"/>
          <w:highlight w:val="none"/>
          <w:lang w:val="en-US" w:eastAsia="zh-CN"/>
        </w:rPr>
        <w:t>乙方</w:t>
      </w:r>
      <w:r>
        <w:rPr>
          <w:rFonts w:hint="eastAsia" w:ascii="宋体" w:hAnsi="宋体" w:eastAsia="宋体" w:cs="宋体"/>
          <w:color w:val="auto"/>
          <w:sz w:val="24"/>
          <w:highlight w:val="none"/>
        </w:rPr>
        <w:t>负责赔偿。</w:t>
      </w:r>
    </w:p>
    <w:p w14:paraId="3459B15D">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57" w:name="_Toc20653"/>
      <w:r>
        <w:rPr>
          <w:rFonts w:hint="eastAsia" w:ascii="宋体" w:hAnsi="宋体" w:cs="宋体"/>
          <w:b/>
          <w:color w:val="auto"/>
          <w:sz w:val="24"/>
          <w:highlight w:val="none"/>
          <w:lang w:val="en-US" w:eastAsia="zh-CN"/>
        </w:rPr>
        <w:t>10</w:t>
      </w:r>
      <w:r>
        <w:rPr>
          <w:rFonts w:hint="eastAsia" w:ascii="宋体" w:hAnsi="宋体" w:eastAsia="宋体" w:cs="宋体"/>
          <w:b/>
          <w:color w:val="auto"/>
          <w:sz w:val="24"/>
          <w:highlight w:val="none"/>
        </w:rPr>
        <w:t>.质量保证</w:t>
      </w:r>
      <w:bookmarkEnd w:id="257"/>
    </w:p>
    <w:p w14:paraId="616BC593">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乙方应提供优质服务，保证服务质量，且不能低于合同规定的范围和种类。</w:t>
      </w:r>
    </w:p>
    <w:p w14:paraId="09D03494">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58" w:name="_Toc32561"/>
      <w:r>
        <w:rPr>
          <w:rFonts w:hint="eastAsia" w:ascii="宋体" w:hAnsi="宋体" w:cs="宋体"/>
          <w:b/>
          <w:color w:val="auto"/>
          <w:sz w:val="24"/>
          <w:highlight w:val="none"/>
          <w:lang w:val="en-US" w:eastAsia="zh-CN"/>
        </w:rPr>
        <w:t>11</w:t>
      </w:r>
      <w:r>
        <w:rPr>
          <w:rFonts w:hint="eastAsia" w:ascii="宋体" w:hAnsi="宋体" w:eastAsia="宋体" w:cs="宋体"/>
          <w:b/>
          <w:color w:val="auto"/>
          <w:sz w:val="24"/>
          <w:highlight w:val="none"/>
        </w:rPr>
        <w:t>.验收</w:t>
      </w:r>
      <w:bookmarkEnd w:id="258"/>
    </w:p>
    <w:p w14:paraId="61EE9A7C">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验收严格按照招标文件和投标文件规定的标准进行验收。</w:t>
      </w:r>
    </w:p>
    <w:p w14:paraId="71054C6B">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59" w:name="_Toc6956"/>
      <w:r>
        <w:rPr>
          <w:rFonts w:hint="eastAsia" w:ascii="宋体" w:hAnsi="宋体" w:cs="宋体"/>
          <w:b/>
          <w:color w:val="auto"/>
          <w:sz w:val="24"/>
          <w:highlight w:val="none"/>
          <w:lang w:val="en-US" w:eastAsia="zh-CN"/>
        </w:rPr>
        <w:t>12</w:t>
      </w:r>
      <w:r>
        <w:rPr>
          <w:rFonts w:hint="eastAsia" w:ascii="宋体" w:hAnsi="宋体" w:eastAsia="宋体" w:cs="宋体"/>
          <w:b/>
          <w:color w:val="auto"/>
          <w:sz w:val="24"/>
          <w:highlight w:val="none"/>
        </w:rPr>
        <w:t>.甲方的权利和义务</w:t>
      </w:r>
      <w:bookmarkEnd w:id="259"/>
    </w:p>
    <w:p w14:paraId="79C7AAB9">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.1甲方有权对合同规定范围内乙方的服务行为进行监督和检查，拥有监管权。有权定期核对乙方提供服务所配备的人员数量等。对乙方未按照合同履行的部分有权下达整改通知书，并要求乙方限期整改。</w:t>
      </w:r>
    </w:p>
    <w:p w14:paraId="379FFF6F">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.2甲方有权依据双方签订的考评办法对乙方提供的服务进行定期考评。当考评结果未达到标准时，有权依据考评办法约定的数额扣除履约保证金。</w:t>
      </w:r>
    </w:p>
    <w:p w14:paraId="6051B94D">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.3负责检查监督乙方管理工作的实施及制度的执行情况。</w:t>
      </w:r>
    </w:p>
    <w:p w14:paraId="2F89AE5D">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.4国家法律、法规所规定由甲方承担的其它责任。</w:t>
      </w:r>
    </w:p>
    <w:p w14:paraId="284BE6DA">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60" w:name="_Toc1370"/>
      <w:r>
        <w:rPr>
          <w:rFonts w:hint="eastAsia" w:ascii="宋体" w:hAnsi="宋体" w:eastAsia="宋体" w:cs="宋体"/>
          <w:b/>
          <w:color w:val="auto"/>
          <w:sz w:val="24"/>
          <w:highlight w:val="none"/>
        </w:rPr>
        <w:t>1</w:t>
      </w:r>
      <w:r>
        <w:rPr>
          <w:rFonts w:hint="eastAsia" w:ascii="宋体" w:hAnsi="宋体" w:cs="宋体"/>
          <w:b/>
          <w:color w:val="auto"/>
          <w:sz w:val="24"/>
          <w:highlight w:val="none"/>
          <w:lang w:val="en-US" w:eastAsia="zh-CN"/>
        </w:rPr>
        <w:t>3</w:t>
      </w:r>
      <w:r>
        <w:rPr>
          <w:rFonts w:hint="eastAsia" w:ascii="宋体" w:hAnsi="宋体" w:eastAsia="宋体" w:cs="宋体"/>
          <w:b/>
          <w:color w:val="auto"/>
          <w:sz w:val="24"/>
          <w:highlight w:val="none"/>
        </w:rPr>
        <w:t>.乙方的权利和义务</w:t>
      </w:r>
      <w:bookmarkEnd w:id="260"/>
    </w:p>
    <w:p w14:paraId="3985BBFE">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.1对本合同规定的委托服务范围内的项目享有管理权及服务义务。</w:t>
      </w:r>
    </w:p>
    <w:p w14:paraId="6E5E83F3">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.2对甲方下达整改通知书及时配合处理。</w:t>
      </w:r>
    </w:p>
    <w:p w14:paraId="0196F45B">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.3接受项目行业管理部门及政府有关部门的指导，接受甲方的监督。</w:t>
      </w:r>
    </w:p>
    <w:p w14:paraId="254D0129">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.4国家法律、法规所规定由乙方承担的其它责任。</w:t>
      </w:r>
    </w:p>
    <w:p w14:paraId="1B7FDA15">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61" w:name="_Toc11872"/>
      <w:r>
        <w:rPr>
          <w:rFonts w:hint="eastAsia" w:ascii="宋体" w:hAnsi="宋体" w:eastAsia="宋体" w:cs="宋体"/>
          <w:b/>
          <w:color w:val="auto"/>
          <w:sz w:val="24"/>
          <w:highlight w:val="none"/>
        </w:rPr>
        <w:t>1</w:t>
      </w:r>
      <w:r>
        <w:rPr>
          <w:rFonts w:hint="eastAsia" w:ascii="宋体" w:hAnsi="宋体" w:cs="宋体"/>
          <w:b/>
          <w:color w:val="auto"/>
          <w:sz w:val="24"/>
          <w:highlight w:val="none"/>
          <w:lang w:val="en-US" w:eastAsia="zh-CN"/>
        </w:rPr>
        <w:t>4</w:t>
      </w:r>
      <w:r>
        <w:rPr>
          <w:rFonts w:hint="eastAsia" w:ascii="宋体" w:hAnsi="宋体" w:eastAsia="宋体" w:cs="宋体"/>
          <w:b/>
          <w:color w:val="auto"/>
          <w:sz w:val="24"/>
          <w:highlight w:val="none"/>
        </w:rPr>
        <w:t>. 违约责任</w:t>
      </w:r>
      <w:bookmarkEnd w:id="261"/>
    </w:p>
    <w:p w14:paraId="4921F09B">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.1甲乙双方必须遵守本合同并执行合同中的各项规定，保证本合同的正常履行。</w:t>
      </w:r>
    </w:p>
    <w:p w14:paraId="3687AF9C">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2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4645DFAA">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62" w:name="_Toc22219"/>
      <w:r>
        <w:rPr>
          <w:rFonts w:hint="eastAsia" w:ascii="宋体" w:hAnsi="宋体" w:eastAsia="宋体" w:cs="宋体"/>
          <w:b/>
          <w:color w:val="auto"/>
          <w:sz w:val="24"/>
          <w:highlight w:val="none"/>
        </w:rPr>
        <w:t>1</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.不可抗力事件处理</w:t>
      </w:r>
      <w:bookmarkEnd w:id="262"/>
    </w:p>
    <w:p w14:paraId="3AA2DEA5">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51013E20">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.2 本合同中的不可抗力指不能预见、不能避免并不能克服的客观情况。包括但不限于：自然灾害如地震、台风、洪水、火灾；政府行为、法律规定或其适用的变化或者其他任何无法预见、避免或者控制的事件。</w:t>
      </w:r>
    </w:p>
    <w:p w14:paraId="74BBF7DC">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63" w:name="_Toc9345"/>
      <w:r>
        <w:rPr>
          <w:rFonts w:hint="eastAsia" w:ascii="宋体" w:hAnsi="宋体" w:eastAsia="宋体" w:cs="宋体"/>
          <w:b/>
          <w:color w:val="auto"/>
          <w:sz w:val="24"/>
          <w:highlight w:val="none"/>
        </w:rPr>
        <w:t>1</w:t>
      </w: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rPr>
        <w:t>.合同纠纷处理</w:t>
      </w:r>
      <w:bookmarkEnd w:id="263"/>
    </w:p>
    <w:p w14:paraId="44AB7D62">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因本合同或与本合同有关的一切事项发生争议，由双方友好协商解决。协商不成的，任何一方均可选择向合同签订地人民法院提起诉讼解决</w:t>
      </w:r>
      <w:r>
        <w:rPr>
          <w:rFonts w:hint="eastAsia" w:ascii="宋体" w:hAnsi="宋体" w:eastAsia="宋体" w:cs="宋体"/>
          <w:color w:val="auto"/>
          <w:sz w:val="24"/>
          <w:highlight w:val="none"/>
          <w:lang w:eastAsia="zh-CN"/>
        </w:rPr>
        <w:t>。</w:t>
      </w:r>
    </w:p>
    <w:p w14:paraId="144847B4">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64" w:name="_Toc4650"/>
      <w:r>
        <w:rPr>
          <w:rFonts w:hint="eastAsia" w:ascii="宋体" w:hAnsi="宋体" w:eastAsia="宋体" w:cs="宋体"/>
          <w:b/>
          <w:color w:val="auto"/>
          <w:sz w:val="24"/>
          <w:highlight w:val="none"/>
        </w:rPr>
        <w:t>1</w:t>
      </w:r>
      <w:r>
        <w:rPr>
          <w:rFonts w:hint="eastAsia" w:ascii="宋体" w:hAnsi="宋体" w:cs="宋体"/>
          <w:b/>
          <w:color w:val="auto"/>
          <w:sz w:val="24"/>
          <w:highlight w:val="none"/>
          <w:lang w:val="en-US" w:eastAsia="zh-CN"/>
        </w:rPr>
        <w:t>7</w:t>
      </w:r>
      <w:r>
        <w:rPr>
          <w:rFonts w:hint="eastAsia" w:ascii="宋体" w:hAnsi="宋体" w:eastAsia="宋体" w:cs="宋体"/>
          <w:b/>
          <w:color w:val="auto"/>
          <w:sz w:val="24"/>
          <w:highlight w:val="none"/>
        </w:rPr>
        <w:t>.违约解除合同</w:t>
      </w:r>
      <w:bookmarkEnd w:id="264"/>
    </w:p>
    <w:p w14:paraId="44B1362D">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.1违反本合同第10条的规定的</w:t>
      </w:r>
      <w:r>
        <w:rPr>
          <w:rFonts w:hint="eastAsia" w:ascii="宋体" w:hAnsi="宋体" w:eastAsia="宋体" w:cs="宋体"/>
          <w:color w:val="auto"/>
          <w:sz w:val="24"/>
          <w:highlight w:val="none"/>
          <w:lang w:eastAsia="zh-CN"/>
        </w:rPr>
        <w:t>；</w:t>
      </w:r>
    </w:p>
    <w:p w14:paraId="25393578">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.2 乙方未能履行合同规定的其它主要义务的</w:t>
      </w:r>
      <w:r>
        <w:rPr>
          <w:rFonts w:hint="eastAsia" w:ascii="宋体" w:hAnsi="宋体" w:eastAsia="宋体" w:cs="宋体"/>
          <w:color w:val="auto"/>
          <w:sz w:val="24"/>
          <w:highlight w:val="none"/>
          <w:lang w:eastAsia="zh-CN"/>
        </w:rPr>
        <w:t>；</w:t>
      </w:r>
    </w:p>
    <w:p w14:paraId="5C8CB92D">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.3 在本合同履行过程中有腐败和欺诈行为的。</w:t>
      </w:r>
    </w:p>
    <w:p w14:paraId="4D0A6EAC">
      <w:pPr>
        <w:keepNext w:val="0"/>
        <w:keepLines w:val="0"/>
        <w:pageBreakBefore w:val="0"/>
        <w:kinsoku/>
        <w:overflowPunct/>
        <w:topLinePunct w:val="0"/>
        <w:autoSpaceDE/>
        <w:autoSpaceDN/>
        <w:bidi w:val="0"/>
        <w:adjustRightInd/>
        <w:spacing w:line="360" w:lineRule="auto"/>
        <w:ind w:firstLine="482" w:firstLineChars="200"/>
        <w:textAlignment w:val="auto"/>
        <w:outlineLvl w:val="1"/>
        <w:rPr>
          <w:rFonts w:hint="eastAsia" w:ascii="宋体" w:hAnsi="宋体" w:eastAsia="宋体" w:cs="宋体"/>
          <w:b/>
          <w:color w:val="auto"/>
          <w:sz w:val="24"/>
          <w:highlight w:val="none"/>
        </w:rPr>
      </w:pPr>
      <w:bookmarkStart w:id="265" w:name="_Toc448"/>
      <w:r>
        <w:rPr>
          <w:rFonts w:hint="eastAsia" w:ascii="宋体" w:hAnsi="宋体" w:eastAsia="宋体" w:cs="宋体"/>
          <w:b/>
          <w:color w:val="auto"/>
          <w:sz w:val="24"/>
          <w:highlight w:val="none"/>
        </w:rPr>
        <w:t>1</w:t>
      </w:r>
      <w:r>
        <w:rPr>
          <w:rFonts w:hint="eastAsia" w:ascii="宋体" w:hAnsi="宋体" w:cs="宋体"/>
          <w:b/>
          <w:color w:val="auto"/>
          <w:sz w:val="24"/>
          <w:highlight w:val="none"/>
          <w:lang w:val="en-US" w:eastAsia="zh-CN"/>
        </w:rPr>
        <w:t>8</w:t>
      </w:r>
      <w:r>
        <w:rPr>
          <w:rFonts w:hint="eastAsia" w:ascii="宋体" w:hAnsi="宋体" w:eastAsia="宋体" w:cs="宋体"/>
          <w:b/>
          <w:color w:val="auto"/>
          <w:sz w:val="24"/>
          <w:highlight w:val="none"/>
        </w:rPr>
        <w:t>.其他约定</w:t>
      </w:r>
      <w:bookmarkEnd w:id="265"/>
    </w:p>
    <w:p w14:paraId="50A532AE">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.1 本采购项目的招标文件、中标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rPr>
        <w:t>的投标文件以及相关的澄清确认函（如有）均为本合同不可分割的一部分，与本合同具有同等法律效力。</w:t>
      </w:r>
    </w:p>
    <w:p w14:paraId="1AEDA8E8">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.2 本合同未尽事宜，双方另行补充。</w:t>
      </w:r>
    </w:p>
    <w:p w14:paraId="77F762AF">
      <w:pPr>
        <w:keepNext w:val="0"/>
        <w:keepLines w:val="0"/>
        <w:pageBreakBefore w:val="0"/>
        <w:kinsoku/>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.3本合同正本一式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份，具有同等法律效力，甲、乙双方各执</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份。</w:t>
      </w:r>
    </w:p>
    <w:p w14:paraId="562E1D31">
      <w:pPr>
        <w:keepNext w:val="0"/>
        <w:keepLines w:val="0"/>
        <w:pageBreakBefore w:val="0"/>
        <w:widowControl/>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甲    方：                            乙    方：</w:t>
      </w:r>
    </w:p>
    <w:p w14:paraId="475B05E9">
      <w:pPr>
        <w:keepNext w:val="0"/>
        <w:keepLines w:val="0"/>
        <w:pageBreakBefore w:val="0"/>
        <w:widowControl/>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单位地址：                            单位地址：</w:t>
      </w:r>
    </w:p>
    <w:p w14:paraId="1F4782B5">
      <w:pPr>
        <w:keepNext w:val="0"/>
        <w:keepLines w:val="0"/>
        <w:pageBreakBefore w:val="0"/>
        <w:widowControl/>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                          法定代表人：</w:t>
      </w:r>
    </w:p>
    <w:p w14:paraId="0011F3C3">
      <w:pPr>
        <w:keepNext w:val="0"/>
        <w:keepLines w:val="0"/>
        <w:pageBreakBefore w:val="0"/>
        <w:widowControl/>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                          委托代理人：</w:t>
      </w:r>
    </w:p>
    <w:p w14:paraId="338BC311">
      <w:pPr>
        <w:keepNext w:val="0"/>
        <w:keepLines w:val="0"/>
        <w:pageBreakBefore w:val="0"/>
        <w:widowControl/>
        <w:kinsoku/>
        <w:wordWrap w:val="0"/>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电    话：                            电    话：  </w:t>
      </w:r>
    </w:p>
    <w:p w14:paraId="183E41EA">
      <w:pPr>
        <w:keepNext w:val="0"/>
        <w:keepLines w:val="0"/>
        <w:pageBreakBefore w:val="0"/>
        <w:widowControl/>
        <w:kinsoku/>
        <w:wordWrap w:val="0"/>
        <w:overflowPunct/>
        <w:topLinePunct w:val="0"/>
        <w:autoSpaceDE/>
        <w:autoSpaceDN/>
        <w:bidi w:val="0"/>
        <w:adjustRightInd/>
        <w:snapToGrid w:val="0"/>
        <w:spacing w:line="360" w:lineRule="auto"/>
        <w:jc w:val="both"/>
        <w:textAlignment w:val="auto"/>
        <w:rPr>
          <w:rFonts w:hint="eastAsia" w:ascii="宋体" w:hAnsi="宋体" w:eastAsia="宋体" w:cs="宋体"/>
          <w:color w:val="auto"/>
          <w:kern w:val="0"/>
          <w:sz w:val="24"/>
          <w:highlight w:val="none"/>
        </w:rPr>
      </w:pPr>
    </w:p>
    <w:p w14:paraId="4B21868E">
      <w:pPr>
        <w:keepNext w:val="0"/>
        <w:keepLines w:val="0"/>
        <w:pageBreakBefore w:val="0"/>
        <w:widowControl/>
        <w:kinsoku/>
        <w:wordWrap w:val="0"/>
        <w:overflowPunct/>
        <w:topLinePunct w:val="0"/>
        <w:autoSpaceDE/>
        <w:autoSpaceDN/>
        <w:bidi w:val="0"/>
        <w:adjustRightInd/>
        <w:snapToGrid w:val="0"/>
        <w:spacing w:line="360" w:lineRule="auto"/>
        <w:ind w:firstLine="480" w:firstLineChars="200"/>
        <w:jc w:val="right"/>
        <w:textAlignment w:val="auto"/>
        <w:rPr>
          <w:rFonts w:hint="eastAsia" w:ascii="宋体" w:hAnsi="宋体" w:eastAsia="宋体" w:cs="宋体"/>
          <w:b/>
          <w:bCs/>
          <w:color w:val="auto"/>
          <w:sz w:val="32"/>
          <w:szCs w:val="32"/>
          <w:highlight w:val="none"/>
        </w:rPr>
      </w:pPr>
      <w:r>
        <w:rPr>
          <w:rFonts w:hint="eastAsia" w:ascii="宋体" w:hAnsi="宋体" w:eastAsia="宋体" w:cs="宋体"/>
          <w:color w:val="auto"/>
          <w:kern w:val="0"/>
          <w:sz w:val="24"/>
          <w:highlight w:val="none"/>
        </w:rPr>
        <w:t>签订日期：</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bookmarkStart w:id="266" w:name="_Toc4733"/>
      <w:bookmarkStart w:id="267" w:name="_Toc822"/>
    </w:p>
    <w:p w14:paraId="64131954">
      <w:pPr>
        <w:jc w:val="center"/>
        <w:outlineLvl w:val="0"/>
        <w:rPr>
          <w:rFonts w:hint="eastAsia" w:ascii="宋体" w:hAnsi="宋体" w:eastAsia="宋体" w:cs="宋体"/>
          <w:b/>
          <w:bCs/>
          <w:color w:val="auto"/>
          <w:sz w:val="32"/>
          <w:szCs w:val="32"/>
          <w:highlight w:val="none"/>
        </w:rPr>
      </w:pPr>
      <w:bookmarkStart w:id="268" w:name="_Toc4250"/>
      <w:r>
        <w:rPr>
          <w:rFonts w:hint="eastAsia" w:ascii="宋体" w:hAnsi="宋体" w:eastAsia="宋体" w:cs="宋体"/>
          <w:b/>
          <w:bCs/>
          <w:color w:val="auto"/>
          <w:sz w:val="32"/>
          <w:szCs w:val="32"/>
          <w:highlight w:val="none"/>
        </w:rPr>
        <w:t xml:space="preserve">第五章  </w:t>
      </w:r>
      <w:bookmarkEnd w:id="266"/>
      <w:r>
        <w:rPr>
          <w:rFonts w:hint="eastAsia" w:ascii="宋体" w:hAnsi="宋体" w:eastAsia="宋体" w:cs="宋体"/>
          <w:b/>
          <w:bCs/>
          <w:color w:val="auto"/>
          <w:sz w:val="32"/>
          <w:szCs w:val="32"/>
          <w:highlight w:val="none"/>
        </w:rPr>
        <w:t>服务内容及要求</w:t>
      </w:r>
      <w:bookmarkEnd w:id="267"/>
      <w:bookmarkEnd w:id="268"/>
    </w:p>
    <w:p w14:paraId="2EECB470">
      <w:pPr>
        <w:keepNext w:val="0"/>
        <w:keepLines w:val="0"/>
        <w:pageBreakBefore w:val="0"/>
        <w:kinsoku/>
        <w:overflowPunct/>
        <w:topLinePunct w:val="0"/>
        <w:autoSpaceDE/>
        <w:autoSpaceDN/>
        <w:bidi w:val="0"/>
        <w:adjustRightInd/>
        <w:spacing w:line="360" w:lineRule="auto"/>
        <w:textAlignment w:val="auto"/>
        <w:rPr>
          <w:rFonts w:hint="eastAsia" w:ascii="宋体" w:hAnsi="宋体" w:cs="宋体"/>
          <w:b/>
          <w:bCs/>
          <w:color w:val="auto"/>
          <w:sz w:val="24"/>
          <w:highlight w:val="none"/>
          <w:lang w:val="en-US" w:eastAsia="zh-CN"/>
        </w:rPr>
      </w:pPr>
      <w:bookmarkStart w:id="269" w:name="_Toc22226"/>
      <w:r>
        <w:rPr>
          <w:rFonts w:hint="eastAsia" w:ascii="宋体" w:hAnsi="宋体" w:cs="宋体"/>
          <w:b/>
          <w:bCs/>
          <w:color w:val="auto"/>
          <w:sz w:val="24"/>
          <w:highlight w:val="none"/>
          <w:lang w:val="en-US" w:eastAsia="zh-CN"/>
        </w:rPr>
        <w:t>一、项目基本情况</w:t>
      </w:r>
    </w:p>
    <w:p w14:paraId="599B55B2">
      <w:pPr>
        <w:spacing w:line="360" w:lineRule="auto"/>
        <w:ind w:firstLine="480" w:firstLineChars="200"/>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建设内容及规模：打造线上综治信息化平台暨集成“雪亮工程”平台智慧查控、补点建设和设施场所扩建，做到线上平台全区互联、全域智控、全时响应、全链贯通，“雪亮工程”全域覆盖、全网共享、全时可用、全程可控，新增简易法庭、调解室等。</w:t>
      </w:r>
    </w:p>
    <w:p w14:paraId="51620DFC">
      <w:pPr>
        <w:spacing w:line="360" w:lineRule="auto"/>
        <w:ind w:firstLine="480" w:firstLineChars="200"/>
        <w:outlineLvl w:val="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服务内容：本项目为湖滨区社会治安综合治理中心提升项目，主要内容包括：社会公共视频资源运营管理平台建设，社会公共视频资源监控补点建设服务及综治中心场所环境改造服务等；具体内容详见招标文件第五章服务内容及要求。</w:t>
      </w:r>
    </w:p>
    <w:p w14:paraId="489DFD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项目地点：湖滨区社会治安综合治理中心(原湖滨区林业局一、二楼)</w:t>
      </w:r>
      <w:r>
        <w:rPr>
          <w:rFonts w:hint="eastAsia" w:ascii="宋体" w:hAnsi="宋体" w:cs="宋体"/>
          <w:color w:val="auto"/>
          <w:sz w:val="24"/>
          <w:highlight w:val="none"/>
          <w:lang w:eastAsia="zh-CN"/>
        </w:rPr>
        <w:t>；</w:t>
      </w:r>
    </w:p>
    <w:p w14:paraId="7EB10C7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4.服务标准</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符合国家或行业规定的合格标准，满足</w:t>
      </w:r>
      <w:r>
        <w:rPr>
          <w:rFonts w:hint="eastAsia" w:ascii="宋体" w:hAnsi="宋体" w:cs="宋体"/>
          <w:color w:val="auto"/>
          <w:sz w:val="24"/>
          <w:highlight w:val="none"/>
          <w:lang w:val="en-US" w:eastAsia="zh-CN"/>
        </w:rPr>
        <w:t>采购人</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w:t>
      </w:r>
    </w:p>
    <w:p w14:paraId="652FDDD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5.服务期</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三年</w:t>
      </w:r>
      <w:r>
        <w:rPr>
          <w:rFonts w:hint="eastAsia" w:ascii="宋体" w:hAnsi="宋体" w:cs="宋体"/>
          <w:color w:val="auto"/>
          <w:sz w:val="24"/>
          <w:highlight w:val="none"/>
          <w:lang w:eastAsia="zh-CN"/>
        </w:rPr>
        <w:t>。</w:t>
      </w:r>
    </w:p>
    <w:p w14:paraId="4F451B0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二、服务内容及要求</w:t>
      </w:r>
    </w:p>
    <w:tbl>
      <w:tblPr>
        <w:tblStyle w:val="43"/>
        <w:tblW w:w="98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8"/>
        <w:gridCol w:w="931"/>
        <w:gridCol w:w="916"/>
        <w:gridCol w:w="5588"/>
        <w:gridCol w:w="808"/>
        <w:gridCol w:w="808"/>
      </w:tblGrid>
      <w:tr w14:paraId="716B4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9F5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bookmarkStart w:id="270" w:name="_Toc18200"/>
            <w:r>
              <w:rPr>
                <w:rFonts w:hint="eastAsia" w:ascii="宋体" w:hAnsi="宋体" w:eastAsia="宋体" w:cs="宋体"/>
                <w:i w:val="0"/>
                <w:iCs w:val="0"/>
                <w:color w:val="auto"/>
                <w:kern w:val="0"/>
                <w:sz w:val="24"/>
                <w:szCs w:val="24"/>
                <w:highlight w:val="none"/>
                <w:u w:val="none"/>
                <w:lang w:val="en-US" w:eastAsia="zh-CN" w:bidi="ar"/>
              </w:rPr>
              <w:t>序号</w:t>
            </w: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CCF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服务内容</w:t>
            </w:r>
          </w:p>
        </w:tc>
        <w:tc>
          <w:tcPr>
            <w:tcW w:w="55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BEE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服务要求</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51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4E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r>
      <w:tr w14:paraId="543F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30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66AB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社会公共视频资源运营管理平台建设</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4C08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平台基础构建</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7A1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基础架构：平台需具备分布式视频云能力，具备不低于10万并发能力，设备流可市内出流、省内出流，加快出流速度，减少传输链路。</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F0B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套</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8730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2B369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B12F4">
            <w:pPr>
              <w:jc w:val="center"/>
              <w:rPr>
                <w:rFonts w:hint="eastAsia" w:ascii="宋体" w:hAnsi="宋体" w:eastAsia="宋体" w:cs="宋体"/>
                <w:i w:val="0"/>
                <w:iCs w:val="0"/>
                <w:color w:val="auto"/>
                <w:sz w:val="24"/>
                <w:szCs w:val="24"/>
                <w:highlight w:val="none"/>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10037">
            <w:pPr>
              <w:jc w:val="center"/>
              <w:rPr>
                <w:rFonts w:hint="eastAsia" w:ascii="宋体" w:hAnsi="宋体" w:eastAsia="宋体" w:cs="宋体"/>
                <w:i w:val="0"/>
                <w:iCs w:val="0"/>
                <w:color w:val="auto"/>
                <w:sz w:val="24"/>
                <w:szCs w:val="24"/>
                <w:highlight w:val="none"/>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74162">
            <w:pPr>
              <w:jc w:val="center"/>
              <w:rPr>
                <w:rFonts w:hint="eastAsia" w:ascii="宋体" w:hAnsi="宋体" w:eastAsia="宋体" w:cs="宋体"/>
                <w:i w:val="0"/>
                <w:iCs w:val="0"/>
                <w:color w:val="auto"/>
                <w:sz w:val="24"/>
                <w:szCs w:val="24"/>
                <w:highlight w:val="none"/>
                <w:u w:val="none"/>
              </w:rPr>
            </w:pP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64C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运行能力：7×24小时连续不断稳定的工作，系统可用率可达到99.99％；系统在国家法定节假日期间，保持7×24小时连续不断稳定的工作。</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DFF35">
            <w:pPr>
              <w:jc w:val="center"/>
              <w:rPr>
                <w:rFonts w:hint="eastAsia" w:ascii="宋体" w:hAnsi="宋体" w:eastAsia="宋体" w:cs="宋体"/>
                <w:i w:val="0"/>
                <w:iCs w:val="0"/>
                <w:color w:val="auto"/>
                <w:sz w:val="24"/>
                <w:szCs w:val="24"/>
                <w:highlight w:val="none"/>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A56E9">
            <w:pPr>
              <w:jc w:val="center"/>
              <w:rPr>
                <w:rFonts w:hint="eastAsia" w:ascii="宋体" w:hAnsi="宋体" w:eastAsia="宋体" w:cs="宋体"/>
                <w:i w:val="0"/>
                <w:iCs w:val="0"/>
                <w:color w:val="auto"/>
                <w:sz w:val="24"/>
                <w:szCs w:val="24"/>
                <w:highlight w:val="none"/>
                <w:u w:val="none"/>
              </w:rPr>
            </w:pPr>
          </w:p>
        </w:tc>
      </w:tr>
      <w:tr w14:paraId="46A5E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5B93">
            <w:pPr>
              <w:jc w:val="center"/>
              <w:rPr>
                <w:rFonts w:hint="eastAsia" w:ascii="宋体" w:hAnsi="宋体" w:eastAsia="宋体" w:cs="宋体"/>
                <w:i w:val="0"/>
                <w:iCs w:val="0"/>
                <w:color w:val="auto"/>
                <w:sz w:val="24"/>
                <w:szCs w:val="24"/>
                <w:highlight w:val="none"/>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ACA60">
            <w:pPr>
              <w:jc w:val="center"/>
              <w:rPr>
                <w:rFonts w:hint="eastAsia" w:ascii="宋体" w:hAnsi="宋体" w:eastAsia="宋体" w:cs="宋体"/>
                <w:i w:val="0"/>
                <w:iCs w:val="0"/>
                <w:color w:val="auto"/>
                <w:sz w:val="24"/>
                <w:szCs w:val="24"/>
                <w:highlight w:val="none"/>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27E86">
            <w:pPr>
              <w:jc w:val="center"/>
              <w:rPr>
                <w:rFonts w:hint="eastAsia" w:ascii="宋体" w:hAnsi="宋体" w:eastAsia="宋体" w:cs="宋体"/>
                <w:i w:val="0"/>
                <w:iCs w:val="0"/>
                <w:color w:val="auto"/>
                <w:sz w:val="24"/>
                <w:szCs w:val="24"/>
                <w:highlight w:val="none"/>
                <w:u w:val="none"/>
              </w:rPr>
            </w:pP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7381">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安全能力：平台需具备建立从数据到传输、从摄像机到APP的端到端安全管控方案，全方位防范摄像机被攻破、传输被劫持、数据被泄露、平台及APP被破解的安全风险保障。并通过等保三级认证，公安部GB35114C级安全认证。</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13AB3">
            <w:pPr>
              <w:jc w:val="center"/>
              <w:rPr>
                <w:rFonts w:hint="eastAsia" w:ascii="宋体" w:hAnsi="宋体" w:eastAsia="宋体" w:cs="宋体"/>
                <w:i w:val="0"/>
                <w:iCs w:val="0"/>
                <w:color w:val="auto"/>
                <w:sz w:val="24"/>
                <w:szCs w:val="24"/>
                <w:highlight w:val="none"/>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3F6B9">
            <w:pPr>
              <w:jc w:val="center"/>
              <w:rPr>
                <w:rFonts w:hint="eastAsia" w:ascii="宋体" w:hAnsi="宋体" w:eastAsia="宋体" w:cs="宋体"/>
                <w:i w:val="0"/>
                <w:iCs w:val="0"/>
                <w:color w:val="auto"/>
                <w:sz w:val="24"/>
                <w:szCs w:val="24"/>
                <w:highlight w:val="none"/>
                <w:u w:val="none"/>
              </w:rPr>
            </w:pPr>
          </w:p>
        </w:tc>
      </w:tr>
      <w:tr w14:paraId="11735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2E5F">
            <w:pPr>
              <w:jc w:val="center"/>
              <w:rPr>
                <w:rFonts w:hint="eastAsia" w:ascii="宋体" w:hAnsi="宋体" w:eastAsia="宋体" w:cs="宋体"/>
                <w:i w:val="0"/>
                <w:iCs w:val="0"/>
                <w:color w:val="auto"/>
                <w:sz w:val="24"/>
                <w:szCs w:val="24"/>
                <w:highlight w:val="none"/>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7931F">
            <w:pPr>
              <w:jc w:val="center"/>
              <w:rPr>
                <w:rFonts w:hint="eastAsia" w:ascii="宋体" w:hAnsi="宋体" w:eastAsia="宋体" w:cs="宋体"/>
                <w:i w:val="0"/>
                <w:iCs w:val="0"/>
                <w:color w:val="auto"/>
                <w:sz w:val="24"/>
                <w:szCs w:val="24"/>
                <w:highlight w:val="none"/>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CF693">
            <w:pPr>
              <w:jc w:val="center"/>
              <w:rPr>
                <w:rFonts w:hint="eastAsia" w:ascii="宋体" w:hAnsi="宋体" w:eastAsia="宋体" w:cs="宋体"/>
                <w:i w:val="0"/>
                <w:iCs w:val="0"/>
                <w:color w:val="auto"/>
                <w:sz w:val="24"/>
                <w:szCs w:val="24"/>
                <w:highlight w:val="none"/>
                <w:u w:val="none"/>
              </w:rPr>
            </w:pP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490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运维能力:要求运维具备7*24小时专人值班支撑保障，全流程的故障升级机制，具备节点监控大屏、业务监控、网络及主机基础监控等多维度监控，具备告警触发后要求3分钟内响应，告警要求10分钟内完成处理。</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EF092">
            <w:pPr>
              <w:jc w:val="center"/>
              <w:rPr>
                <w:rFonts w:hint="eastAsia" w:ascii="宋体" w:hAnsi="宋体" w:eastAsia="宋体" w:cs="宋体"/>
                <w:i w:val="0"/>
                <w:iCs w:val="0"/>
                <w:color w:val="auto"/>
                <w:sz w:val="24"/>
                <w:szCs w:val="24"/>
                <w:highlight w:val="none"/>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99970">
            <w:pPr>
              <w:jc w:val="center"/>
              <w:rPr>
                <w:rFonts w:hint="eastAsia" w:ascii="宋体" w:hAnsi="宋体" w:eastAsia="宋体" w:cs="宋体"/>
                <w:i w:val="0"/>
                <w:iCs w:val="0"/>
                <w:color w:val="auto"/>
                <w:sz w:val="24"/>
                <w:szCs w:val="24"/>
                <w:highlight w:val="none"/>
                <w:u w:val="none"/>
              </w:rPr>
            </w:pPr>
          </w:p>
        </w:tc>
      </w:tr>
      <w:tr w14:paraId="39B22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5679">
            <w:pPr>
              <w:jc w:val="center"/>
              <w:rPr>
                <w:rFonts w:hint="eastAsia" w:ascii="宋体" w:hAnsi="宋体" w:eastAsia="宋体" w:cs="宋体"/>
                <w:i w:val="0"/>
                <w:iCs w:val="0"/>
                <w:color w:val="auto"/>
                <w:sz w:val="24"/>
                <w:szCs w:val="24"/>
                <w:highlight w:val="none"/>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B251">
            <w:pPr>
              <w:jc w:val="center"/>
              <w:rPr>
                <w:rFonts w:hint="eastAsia" w:ascii="宋体" w:hAnsi="宋体" w:eastAsia="宋体" w:cs="宋体"/>
                <w:i w:val="0"/>
                <w:iCs w:val="0"/>
                <w:color w:val="auto"/>
                <w:sz w:val="24"/>
                <w:szCs w:val="24"/>
                <w:highlight w:val="none"/>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CC5A1">
            <w:pPr>
              <w:jc w:val="center"/>
              <w:rPr>
                <w:rFonts w:hint="eastAsia" w:ascii="宋体" w:hAnsi="宋体" w:eastAsia="宋体" w:cs="宋体"/>
                <w:i w:val="0"/>
                <w:iCs w:val="0"/>
                <w:color w:val="auto"/>
                <w:sz w:val="24"/>
                <w:szCs w:val="24"/>
                <w:highlight w:val="none"/>
                <w:u w:val="none"/>
              </w:rPr>
            </w:pP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F68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存储能力：平台具备对接云存S3的能力，可按需配置7天、30天、90天、180天云存，并自动滚动覆盖存储。</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49E7F">
            <w:pPr>
              <w:jc w:val="center"/>
              <w:rPr>
                <w:rFonts w:hint="eastAsia" w:ascii="宋体" w:hAnsi="宋体" w:eastAsia="宋体" w:cs="宋体"/>
                <w:i w:val="0"/>
                <w:iCs w:val="0"/>
                <w:color w:val="auto"/>
                <w:sz w:val="24"/>
                <w:szCs w:val="24"/>
                <w:highlight w:val="none"/>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86E75">
            <w:pPr>
              <w:jc w:val="center"/>
              <w:rPr>
                <w:rFonts w:hint="eastAsia" w:ascii="宋体" w:hAnsi="宋体" w:eastAsia="宋体" w:cs="宋体"/>
                <w:i w:val="0"/>
                <w:iCs w:val="0"/>
                <w:color w:val="auto"/>
                <w:sz w:val="24"/>
                <w:szCs w:val="24"/>
                <w:highlight w:val="none"/>
                <w:u w:val="none"/>
              </w:rPr>
            </w:pPr>
          </w:p>
        </w:tc>
      </w:tr>
      <w:tr w14:paraId="00014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D8BC">
            <w:pPr>
              <w:jc w:val="center"/>
              <w:rPr>
                <w:rFonts w:hint="eastAsia" w:ascii="宋体" w:hAnsi="宋体" w:eastAsia="宋体" w:cs="宋体"/>
                <w:i w:val="0"/>
                <w:iCs w:val="0"/>
                <w:color w:val="auto"/>
                <w:sz w:val="24"/>
                <w:szCs w:val="24"/>
                <w:highlight w:val="none"/>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45CB9">
            <w:pPr>
              <w:jc w:val="center"/>
              <w:rPr>
                <w:rFonts w:hint="eastAsia" w:ascii="宋体" w:hAnsi="宋体" w:eastAsia="宋体" w:cs="宋体"/>
                <w:i w:val="0"/>
                <w:iCs w:val="0"/>
                <w:color w:val="auto"/>
                <w:sz w:val="24"/>
                <w:szCs w:val="24"/>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9F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平台采集能力</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B49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1.对社会大量三类视频资源进行联网纳管和每个摄像头视频数据的采集工作。</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2.收编模式以录像机纳管为基础，将社会三类视频流纳管到该平台，后期调用AI算法，全面提升辖区平安能力。</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3.收编模式主要有“设备利旧收编”和”整体替换收编”两种。</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92544">
            <w:pPr>
              <w:jc w:val="center"/>
              <w:rPr>
                <w:rFonts w:hint="eastAsia" w:ascii="宋体" w:hAnsi="宋体" w:eastAsia="宋体" w:cs="宋体"/>
                <w:i w:val="0"/>
                <w:iCs w:val="0"/>
                <w:color w:val="auto"/>
                <w:sz w:val="24"/>
                <w:szCs w:val="24"/>
                <w:highlight w:val="none"/>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593DE">
            <w:pPr>
              <w:jc w:val="center"/>
              <w:rPr>
                <w:rFonts w:hint="eastAsia" w:ascii="宋体" w:hAnsi="宋体" w:eastAsia="宋体" w:cs="宋体"/>
                <w:i w:val="0"/>
                <w:iCs w:val="0"/>
                <w:color w:val="auto"/>
                <w:sz w:val="24"/>
                <w:szCs w:val="24"/>
                <w:highlight w:val="none"/>
                <w:u w:val="none"/>
              </w:rPr>
            </w:pPr>
          </w:p>
        </w:tc>
      </w:tr>
      <w:tr w14:paraId="5BA04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48D16">
            <w:pPr>
              <w:jc w:val="center"/>
              <w:rPr>
                <w:rFonts w:hint="eastAsia" w:ascii="宋体" w:hAnsi="宋体" w:eastAsia="宋体" w:cs="宋体"/>
                <w:i w:val="0"/>
                <w:iCs w:val="0"/>
                <w:color w:val="auto"/>
                <w:sz w:val="24"/>
                <w:szCs w:val="24"/>
                <w:highlight w:val="none"/>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9CF2E">
            <w:pPr>
              <w:jc w:val="center"/>
              <w:rPr>
                <w:rFonts w:hint="eastAsia" w:ascii="宋体" w:hAnsi="宋体" w:eastAsia="宋体" w:cs="宋体"/>
                <w:i w:val="0"/>
                <w:iCs w:val="0"/>
                <w:color w:val="auto"/>
                <w:sz w:val="24"/>
                <w:szCs w:val="24"/>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6E8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平台安全能力</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526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平台具有支持完整独立的权限管理能力，采用分权分域权限管理模式，兼顾多类型用户、多层级用户权限下发，实现多层级安全管理。</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C2B79">
            <w:pPr>
              <w:jc w:val="center"/>
              <w:rPr>
                <w:rFonts w:hint="eastAsia" w:ascii="宋体" w:hAnsi="宋体" w:eastAsia="宋体" w:cs="宋体"/>
                <w:i w:val="0"/>
                <w:iCs w:val="0"/>
                <w:color w:val="auto"/>
                <w:sz w:val="24"/>
                <w:szCs w:val="24"/>
                <w:highlight w:val="none"/>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F0F07">
            <w:pPr>
              <w:jc w:val="center"/>
              <w:rPr>
                <w:rFonts w:hint="eastAsia" w:ascii="宋体" w:hAnsi="宋体" w:eastAsia="宋体" w:cs="宋体"/>
                <w:i w:val="0"/>
                <w:iCs w:val="0"/>
                <w:color w:val="auto"/>
                <w:sz w:val="24"/>
                <w:szCs w:val="24"/>
                <w:highlight w:val="none"/>
                <w:u w:val="none"/>
              </w:rPr>
            </w:pPr>
          </w:p>
        </w:tc>
      </w:tr>
      <w:tr w14:paraId="337D2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EEED">
            <w:pPr>
              <w:jc w:val="center"/>
              <w:rPr>
                <w:rFonts w:hint="eastAsia" w:ascii="宋体" w:hAnsi="宋体" w:eastAsia="宋体" w:cs="宋体"/>
                <w:i w:val="0"/>
                <w:iCs w:val="0"/>
                <w:color w:val="auto"/>
                <w:sz w:val="24"/>
                <w:szCs w:val="24"/>
                <w:highlight w:val="none"/>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F6244">
            <w:pPr>
              <w:jc w:val="center"/>
              <w:rPr>
                <w:rFonts w:hint="eastAsia" w:ascii="宋体" w:hAnsi="宋体" w:eastAsia="宋体" w:cs="宋体"/>
                <w:i w:val="0"/>
                <w:iCs w:val="0"/>
                <w:color w:val="auto"/>
                <w:sz w:val="24"/>
                <w:szCs w:val="24"/>
                <w:highlight w:val="none"/>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42E4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平台共享能力</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B1F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共享开放：</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1.支持多协议接入：支持GB28181协议、社会厂家如海康、大华、宇视、华为等厂家的私有协议、ONVIF等行标协议。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2.支持通过GB28181协议与第三方视频平台对接，实现上下级级联，同步视频、图片数据。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3.支持系统的二次开发以及和异构系统的集成。</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86A9C">
            <w:pPr>
              <w:jc w:val="center"/>
              <w:rPr>
                <w:rFonts w:hint="eastAsia" w:ascii="宋体" w:hAnsi="宋体" w:eastAsia="宋体" w:cs="宋体"/>
                <w:i w:val="0"/>
                <w:iCs w:val="0"/>
                <w:color w:val="auto"/>
                <w:sz w:val="24"/>
                <w:szCs w:val="24"/>
                <w:highlight w:val="none"/>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F2EB5">
            <w:pPr>
              <w:jc w:val="center"/>
              <w:rPr>
                <w:rFonts w:hint="eastAsia" w:ascii="宋体" w:hAnsi="宋体" w:eastAsia="宋体" w:cs="宋体"/>
                <w:i w:val="0"/>
                <w:iCs w:val="0"/>
                <w:color w:val="auto"/>
                <w:sz w:val="24"/>
                <w:szCs w:val="24"/>
                <w:highlight w:val="none"/>
                <w:u w:val="none"/>
              </w:rPr>
            </w:pPr>
          </w:p>
        </w:tc>
      </w:tr>
      <w:tr w14:paraId="46C33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1655">
            <w:pPr>
              <w:jc w:val="center"/>
              <w:rPr>
                <w:rFonts w:hint="eastAsia" w:ascii="宋体" w:hAnsi="宋体" w:eastAsia="宋体" w:cs="宋体"/>
                <w:i w:val="0"/>
                <w:iCs w:val="0"/>
                <w:color w:val="auto"/>
                <w:sz w:val="24"/>
                <w:szCs w:val="24"/>
                <w:highlight w:val="none"/>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35334">
            <w:pPr>
              <w:jc w:val="center"/>
              <w:rPr>
                <w:rFonts w:hint="eastAsia" w:ascii="宋体" w:hAnsi="宋体" w:eastAsia="宋体" w:cs="宋体"/>
                <w:i w:val="0"/>
                <w:iCs w:val="0"/>
                <w:color w:val="auto"/>
                <w:sz w:val="24"/>
                <w:szCs w:val="24"/>
                <w:highlight w:val="none"/>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1D573">
            <w:pPr>
              <w:jc w:val="center"/>
              <w:rPr>
                <w:rFonts w:hint="eastAsia" w:ascii="宋体" w:hAnsi="宋体" w:eastAsia="宋体" w:cs="宋体"/>
                <w:i w:val="0"/>
                <w:iCs w:val="0"/>
                <w:color w:val="auto"/>
                <w:sz w:val="24"/>
                <w:szCs w:val="24"/>
                <w:highlight w:val="none"/>
                <w:u w:val="none"/>
              </w:rPr>
            </w:pP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CD5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资源接入：</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1.视频接入能力：具有不低于5万路视频资源直接接入管理能力；</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2.视频并发访问能力：不低于1000路视频并发访问能力；</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3.实时视频画面调出响应时间≤1s；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4.视频控制切换响应时间≤400ms；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5.前端设备控制延时≤1s； </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6.监控视频显示与实际事件发生时间差≤1s；</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21380">
            <w:pPr>
              <w:jc w:val="center"/>
              <w:rPr>
                <w:rFonts w:hint="eastAsia" w:ascii="宋体" w:hAnsi="宋体" w:eastAsia="宋体" w:cs="宋体"/>
                <w:i w:val="0"/>
                <w:iCs w:val="0"/>
                <w:color w:val="auto"/>
                <w:sz w:val="24"/>
                <w:szCs w:val="24"/>
                <w:highlight w:val="none"/>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E91EE">
            <w:pPr>
              <w:jc w:val="center"/>
              <w:rPr>
                <w:rFonts w:hint="eastAsia" w:ascii="宋体" w:hAnsi="宋体" w:eastAsia="宋体" w:cs="宋体"/>
                <w:i w:val="0"/>
                <w:iCs w:val="0"/>
                <w:color w:val="auto"/>
                <w:sz w:val="24"/>
                <w:szCs w:val="24"/>
                <w:highlight w:val="none"/>
                <w:u w:val="none"/>
              </w:rPr>
            </w:pPr>
          </w:p>
        </w:tc>
      </w:tr>
      <w:tr w14:paraId="0FA24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6031">
            <w:pPr>
              <w:jc w:val="center"/>
              <w:rPr>
                <w:rFonts w:hint="eastAsia" w:ascii="宋体" w:hAnsi="宋体" w:eastAsia="宋体" w:cs="宋体"/>
                <w:i w:val="0"/>
                <w:iCs w:val="0"/>
                <w:color w:val="auto"/>
                <w:sz w:val="24"/>
                <w:szCs w:val="24"/>
                <w:highlight w:val="none"/>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416D9">
            <w:pPr>
              <w:jc w:val="center"/>
              <w:rPr>
                <w:rFonts w:hint="eastAsia" w:ascii="宋体" w:hAnsi="宋体" w:eastAsia="宋体" w:cs="宋体"/>
                <w:i w:val="0"/>
                <w:iCs w:val="0"/>
                <w:color w:val="auto"/>
                <w:sz w:val="24"/>
                <w:szCs w:val="24"/>
                <w:highlight w:val="none"/>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9E1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平台可视化能力</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2C8B">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1.本平台基于视联网，依托多媒体网络技术，向用户提供信息服务，发布异常报警提醒；</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2.通过发布可视化信息以及安全信息、紧急信息提示等，为城市平安建设提供保障，提高效率，降低成本；</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3.该系统还能及时固定违法证据并为案件回溯提供有力支持；</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4.支持其他视联网平台的接入以及以国标协议的输出，可实现平台之间的互通互联，最大化利用了视频资源的价值；</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5.支持定制化可插拔式加载算法能力，可根据用户需求对不同点位的视频资源动态选择对应的算法树，实现了视频资源根据场景灵活调配；</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6.支持告警信息提示、算法列表展示。</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6313B">
            <w:pPr>
              <w:jc w:val="center"/>
              <w:rPr>
                <w:rFonts w:hint="eastAsia" w:ascii="宋体" w:hAnsi="宋体" w:eastAsia="宋体" w:cs="宋体"/>
                <w:i w:val="0"/>
                <w:iCs w:val="0"/>
                <w:color w:val="auto"/>
                <w:sz w:val="24"/>
                <w:szCs w:val="24"/>
                <w:highlight w:val="none"/>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C9DDC">
            <w:pPr>
              <w:jc w:val="center"/>
              <w:rPr>
                <w:rFonts w:hint="eastAsia" w:ascii="宋体" w:hAnsi="宋体" w:eastAsia="宋体" w:cs="宋体"/>
                <w:i w:val="0"/>
                <w:iCs w:val="0"/>
                <w:color w:val="auto"/>
                <w:sz w:val="24"/>
                <w:szCs w:val="24"/>
                <w:highlight w:val="none"/>
                <w:u w:val="none"/>
              </w:rPr>
            </w:pPr>
          </w:p>
        </w:tc>
      </w:tr>
      <w:tr w14:paraId="3B8A8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06FA">
            <w:pPr>
              <w:jc w:val="center"/>
              <w:rPr>
                <w:rFonts w:hint="eastAsia" w:ascii="宋体" w:hAnsi="宋体" w:eastAsia="宋体" w:cs="宋体"/>
                <w:i w:val="0"/>
                <w:iCs w:val="0"/>
                <w:color w:val="auto"/>
                <w:sz w:val="24"/>
                <w:szCs w:val="24"/>
                <w:highlight w:val="none"/>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4DB6E">
            <w:pPr>
              <w:jc w:val="center"/>
              <w:rPr>
                <w:rFonts w:hint="eastAsia" w:ascii="宋体" w:hAnsi="宋体" w:eastAsia="宋体" w:cs="宋体"/>
                <w:i w:val="0"/>
                <w:iCs w:val="0"/>
                <w:color w:val="auto"/>
                <w:sz w:val="24"/>
                <w:szCs w:val="24"/>
                <w:highlight w:val="none"/>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8A480">
            <w:pPr>
              <w:jc w:val="center"/>
              <w:rPr>
                <w:rFonts w:hint="eastAsia" w:ascii="宋体" w:hAnsi="宋体" w:eastAsia="宋体" w:cs="宋体"/>
                <w:i w:val="0"/>
                <w:iCs w:val="0"/>
                <w:color w:val="auto"/>
                <w:sz w:val="24"/>
                <w:szCs w:val="24"/>
                <w:highlight w:val="none"/>
                <w:u w:val="none"/>
              </w:rPr>
            </w:pP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6AB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pc电脑端：</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1.支持呈现该帐号在平台注册的监控摄像头设备列表；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2.支持多宫格查看视频直播，提供单画面、4、5、6、8、9、16、36及全屏窗口布局；</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3.支持平台操作对单独摄像头进行抓拍并保存，同时可支持自定义目录保存；</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4.平台画面展示支持自定义单独展示和分组轮巡展示等功能；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5.录像查看具备多倍数播放，支持1/2、1/4、1/8、1、2、4、8、16倍数播放，支持对屏像录屏及抓图并自动保存在自定义目录，支持向左（后）向右（前）拖放。</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D0CD0">
            <w:pPr>
              <w:jc w:val="center"/>
              <w:rPr>
                <w:rFonts w:hint="eastAsia" w:ascii="宋体" w:hAnsi="宋体" w:eastAsia="宋体" w:cs="宋体"/>
                <w:i w:val="0"/>
                <w:iCs w:val="0"/>
                <w:color w:val="auto"/>
                <w:sz w:val="24"/>
                <w:szCs w:val="24"/>
                <w:highlight w:val="none"/>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D53A4">
            <w:pPr>
              <w:jc w:val="center"/>
              <w:rPr>
                <w:rFonts w:hint="eastAsia" w:ascii="宋体" w:hAnsi="宋体" w:eastAsia="宋体" w:cs="宋体"/>
                <w:i w:val="0"/>
                <w:iCs w:val="0"/>
                <w:color w:val="auto"/>
                <w:sz w:val="24"/>
                <w:szCs w:val="24"/>
                <w:highlight w:val="none"/>
                <w:u w:val="none"/>
              </w:rPr>
            </w:pPr>
          </w:p>
        </w:tc>
      </w:tr>
      <w:tr w14:paraId="68B4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C96B">
            <w:pPr>
              <w:jc w:val="center"/>
              <w:rPr>
                <w:rFonts w:hint="eastAsia" w:ascii="宋体" w:hAnsi="宋体" w:eastAsia="宋体" w:cs="宋体"/>
                <w:i w:val="0"/>
                <w:iCs w:val="0"/>
                <w:color w:val="auto"/>
                <w:sz w:val="24"/>
                <w:szCs w:val="24"/>
                <w:highlight w:val="none"/>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1B068">
            <w:pPr>
              <w:jc w:val="center"/>
              <w:rPr>
                <w:rFonts w:hint="eastAsia" w:ascii="宋体" w:hAnsi="宋体" w:eastAsia="宋体" w:cs="宋体"/>
                <w:i w:val="0"/>
                <w:iCs w:val="0"/>
                <w:color w:val="auto"/>
                <w:sz w:val="24"/>
                <w:szCs w:val="24"/>
                <w:highlight w:val="none"/>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AF2C1">
            <w:pPr>
              <w:jc w:val="center"/>
              <w:rPr>
                <w:rFonts w:hint="eastAsia" w:ascii="宋体" w:hAnsi="宋体" w:eastAsia="宋体" w:cs="宋体"/>
                <w:i w:val="0"/>
                <w:iCs w:val="0"/>
                <w:color w:val="auto"/>
                <w:sz w:val="24"/>
                <w:szCs w:val="24"/>
                <w:highlight w:val="none"/>
                <w:u w:val="none"/>
              </w:rPr>
            </w:pP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8E8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智能终端：通过特定的APP工具直接登录平台，实现PC端各项平台功能。</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E1D63">
            <w:pPr>
              <w:jc w:val="center"/>
              <w:rPr>
                <w:rFonts w:hint="eastAsia" w:ascii="宋体" w:hAnsi="宋体" w:eastAsia="宋体" w:cs="宋体"/>
                <w:i w:val="0"/>
                <w:iCs w:val="0"/>
                <w:color w:val="auto"/>
                <w:sz w:val="24"/>
                <w:szCs w:val="24"/>
                <w:highlight w:val="none"/>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4DD03">
            <w:pPr>
              <w:jc w:val="center"/>
              <w:rPr>
                <w:rFonts w:hint="eastAsia" w:ascii="宋体" w:hAnsi="宋体" w:eastAsia="宋体" w:cs="宋体"/>
                <w:i w:val="0"/>
                <w:iCs w:val="0"/>
                <w:color w:val="auto"/>
                <w:sz w:val="24"/>
                <w:szCs w:val="24"/>
                <w:highlight w:val="none"/>
                <w:u w:val="none"/>
              </w:rPr>
            </w:pPr>
          </w:p>
        </w:tc>
      </w:tr>
      <w:tr w14:paraId="6C0F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2F27">
            <w:pPr>
              <w:jc w:val="center"/>
              <w:rPr>
                <w:rFonts w:hint="eastAsia" w:ascii="宋体" w:hAnsi="宋体" w:eastAsia="宋体" w:cs="宋体"/>
                <w:i w:val="0"/>
                <w:iCs w:val="0"/>
                <w:color w:val="auto"/>
                <w:sz w:val="24"/>
                <w:szCs w:val="24"/>
                <w:highlight w:val="none"/>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7A703">
            <w:pPr>
              <w:jc w:val="center"/>
              <w:rPr>
                <w:rFonts w:hint="eastAsia" w:ascii="宋体" w:hAnsi="宋体" w:eastAsia="宋体" w:cs="宋体"/>
                <w:i w:val="0"/>
                <w:iCs w:val="0"/>
                <w:color w:val="auto"/>
                <w:sz w:val="24"/>
                <w:szCs w:val="24"/>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E8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平台运营处理能力</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73AD">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需具备合作方管理、算法管理、开放能力管理、AI场景管理、业务订购管理、算法部署管理、设备管理等一整套完整的可支撑AI分析能力快速落地的运营，提供将各算法灵活编排成满足业务需求的AI</w:t>
            </w:r>
            <w:r>
              <w:rPr>
                <w:rStyle w:val="172"/>
                <w:rFonts w:hint="eastAsia" w:asciiTheme="minorEastAsia" w:hAnsiTheme="minorEastAsia" w:eastAsiaTheme="minorEastAsia" w:cstheme="minorEastAsia"/>
                <w:color w:val="auto"/>
                <w:sz w:val="24"/>
                <w:szCs w:val="24"/>
                <w:highlight w:val="none"/>
                <w:lang w:val="en-US" w:eastAsia="zh-CN" w:bidi="ar"/>
              </w:rPr>
              <w:t>场景应用等核心能力。</w:t>
            </w: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9EC42">
            <w:pPr>
              <w:jc w:val="center"/>
              <w:rPr>
                <w:rFonts w:hint="eastAsia" w:ascii="宋体" w:hAnsi="宋体" w:eastAsia="宋体" w:cs="宋体"/>
                <w:i w:val="0"/>
                <w:iCs w:val="0"/>
                <w:color w:val="auto"/>
                <w:sz w:val="24"/>
                <w:szCs w:val="24"/>
                <w:highlight w:val="none"/>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AA7A2">
            <w:pPr>
              <w:jc w:val="center"/>
              <w:rPr>
                <w:rFonts w:hint="eastAsia" w:ascii="宋体" w:hAnsi="宋体" w:eastAsia="宋体" w:cs="宋体"/>
                <w:i w:val="0"/>
                <w:iCs w:val="0"/>
                <w:color w:val="auto"/>
                <w:sz w:val="24"/>
                <w:szCs w:val="24"/>
                <w:highlight w:val="none"/>
                <w:u w:val="none"/>
              </w:rPr>
            </w:pPr>
          </w:p>
        </w:tc>
      </w:tr>
      <w:tr w14:paraId="3F117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9AD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1DA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社会公共视频资源监控补点建设服务</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A4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建设区域</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2248">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布控建设区域：湖滨区辖区范围                                                                           连线合围区域：</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东：茅津古渡口—北环路—东环路—野路桥—连霍高速东出口，形成连线。</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西：甘棠路—仰韶大道—上阳路—连霍高速，形成连线。</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南：连霍高速（含）。</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北：黄河南岸（含）。</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6F36">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ABB0">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w:t>
            </w:r>
          </w:p>
        </w:tc>
      </w:tr>
      <w:tr w14:paraId="0ADE3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8501">
            <w:pPr>
              <w:jc w:val="center"/>
              <w:rPr>
                <w:rFonts w:hint="eastAsia" w:ascii="宋体" w:hAnsi="宋体" w:eastAsia="宋体" w:cs="宋体"/>
                <w:i w:val="0"/>
                <w:iCs w:val="0"/>
                <w:color w:val="auto"/>
                <w:sz w:val="24"/>
                <w:szCs w:val="24"/>
                <w:highlight w:val="none"/>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4352F">
            <w:pPr>
              <w:jc w:val="center"/>
              <w:rPr>
                <w:rFonts w:hint="eastAsia" w:ascii="宋体" w:hAnsi="宋体" w:eastAsia="宋体" w:cs="宋体"/>
                <w:i w:val="0"/>
                <w:iCs w:val="0"/>
                <w:color w:val="auto"/>
                <w:sz w:val="24"/>
                <w:szCs w:val="24"/>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DD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AI摄像头</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696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摄像头参数配置：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1.有效像素：≥400万；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2.分辨率：≥2560*1440；</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3.帧率：≥25帧；</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4.内置麦克风功能；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5.内置扬声器，支持双向语音对讲；</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6.防水防尘等级：≥IP67；</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7.支持云存储；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8.最低照度：≤0.01lux；</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9.AI功能：支持人脸抓拍、车辆抓拍、客流统计、人群聚集、火情识别等任意一项功能；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10.AI算力≥1T。</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B0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路</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42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50</w:t>
            </w:r>
          </w:p>
        </w:tc>
      </w:tr>
      <w:tr w14:paraId="5D23A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3D3CF">
            <w:pPr>
              <w:jc w:val="center"/>
              <w:rPr>
                <w:rFonts w:hint="eastAsia" w:ascii="宋体" w:hAnsi="宋体" w:eastAsia="宋体" w:cs="宋体"/>
                <w:i w:val="0"/>
                <w:iCs w:val="0"/>
                <w:color w:val="auto"/>
                <w:sz w:val="24"/>
                <w:szCs w:val="24"/>
                <w:highlight w:val="none"/>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ED4C0">
            <w:pPr>
              <w:jc w:val="center"/>
              <w:rPr>
                <w:rFonts w:hint="eastAsia" w:ascii="宋体" w:hAnsi="宋体" w:eastAsia="宋体" w:cs="宋体"/>
                <w:i w:val="0"/>
                <w:iCs w:val="0"/>
                <w:color w:val="auto"/>
                <w:sz w:val="24"/>
                <w:szCs w:val="24"/>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90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普通摄像头</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6AA4">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摄像头参数配置：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1.有效像素：≥400万；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2.分辨率：≥2560*1440；</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3.帧率：≥25帧；</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4.内置麦克风功能；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5.内置扬声器，支持双向语音对讲；</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6.防水防尘等级：≥IP67；</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7.支持云存储；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86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路</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9D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350</w:t>
            </w:r>
          </w:p>
        </w:tc>
      </w:tr>
      <w:tr w14:paraId="1EB14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15F6">
            <w:pPr>
              <w:jc w:val="center"/>
              <w:rPr>
                <w:rFonts w:hint="eastAsia" w:ascii="宋体" w:hAnsi="宋体" w:eastAsia="宋体" w:cs="宋体"/>
                <w:i w:val="0"/>
                <w:iCs w:val="0"/>
                <w:color w:val="auto"/>
                <w:sz w:val="24"/>
                <w:szCs w:val="24"/>
                <w:highlight w:val="none"/>
                <w:u w:val="none"/>
              </w:rPr>
            </w:pPr>
          </w:p>
        </w:tc>
        <w:tc>
          <w:tcPr>
            <w:tcW w:w="9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12C4F">
            <w:pPr>
              <w:jc w:val="center"/>
              <w:rPr>
                <w:rFonts w:hint="eastAsia" w:ascii="宋体" w:hAnsi="宋体" w:eastAsia="宋体" w:cs="宋体"/>
                <w:i w:val="0"/>
                <w:iCs w:val="0"/>
                <w:color w:val="auto"/>
                <w:sz w:val="24"/>
                <w:szCs w:val="24"/>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93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视频资源传输服务</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5EA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对社会大量三类视频资源视频进行联网，采用视频录像机网络连接方式，通过国标G2181协议对摄像头视频进行采集推送至视频监控资源管理运营平台。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3C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点位</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61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1000</w:t>
            </w:r>
          </w:p>
        </w:tc>
      </w:tr>
      <w:tr w14:paraId="79B8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restart"/>
            <w:tcBorders>
              <w:top w:val="single" w:color="000000" w:sz="4" w:space="0"/>
              <w:left w:val="single" w:color="000000" w:sz="4" w:space="0"/>
              <w:right w:val="single" w:color="000000" w:sz="4" w:space="0"/>
            </w:tcBorders>
            <w:shd w:val="clear" w:color="auto" w:fill="auto"/>
            <w:noWrap/>
            <w:vAlign w:val="center"/>
          </w:tcPr>
          <w:p w14:paraId="785749E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931" w:type="dxa"/>
            <w:vMerge w:val="restart"/>
            <w:tcBorders>
              <w:top w:val="single" w:color="000000" w:sz="4" w:space="0"/>
              <w:left w:val="single" w:color="000000" w:sz="4" w:space="0"/>
              <w:right w:val="single" w:color="000000" w:sz="4" w:space="0"/>
            </w:tcBorders>
            <w:shd w:val="clear" w:color="auto" w:fill="auto"/>
            <w:vAlign w:val="center"/>
          </w:tcPr>
          <w:p w14:paraId="769E6A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综治中心场所环境改造服务</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C6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智能监控系统</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DA22">
            <w:pPr>
              <w:keepNext w:val="0"/>
              <w:keepLines w:val="0"/>
              <w:widowControl/>
              <w:suppressLineNumbers w:val="0"/>
              <w:jc w:val="both"/>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摄像头参数配置：</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1.有效像素：≥400万；</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2.分辨率：≥2560*1440；</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3.帧率：≥25帧；</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4.内置麦克风功能；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5.内置扬声器，支持双向语音对讲；</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6.防水防尘等级：≥IP67；</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7.支持云存储；</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608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路</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F4E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w:t>
            </w:r>
          </w:p>
        </w:tc>
      </w:tr>
      <w:tr w14:paraId="3F936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jc w:val="center"/>
        </w:trPr>
        <w:tc>
          <w:tcPr>
            <w:tcW w:w="808" w:type="dxa"/>
            <w:vMerge w:val="continue"/>
            <w:tcBorders>
              <w:left w:val="single" w:color="000000" w:sz="4" w:space="0"/>
              <w:right w:val="single" w:color="000000" w:sz="4" w:space="0"/>
            </w:tcBorders>
            <w:shd w:val="clear" w:color="auto" w:fill="auto"/>
            <w:noWrap/>
            <w:vAlign w:val="center"/>
          </w:tcPr>
          <w:p w14:paraId="6888B0F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1" w:type="dxa"/>
            <w:vMerge w:val="continue"/>
            <w:tcBorders>
              <w:left w:val="single" w:color="000000" w:sz="4" w:space="0"/>
              <w:right w:val="single" w:color="000000" w:sz="4" w:space="0"/>
            </w:tcBorders>
            <w:shd w:val="clear" w:color="auto" w:fill="auto"/>
            <w:vAlign w:val="center"/>
          </w:tcPr>
          <w:p w14:paraId="313306E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5950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空调设备</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810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1.5P挂机</w:t>
            </w:r>
          </w:p>
          <w:p w14:paraId="7113422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能效等级：不低于2级；</w:t>
            </w:r>
          </w:p>
          <w:p w14:paraId="52A093C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能效比：不低于5.3；</w:t>
            </w:r>
          </w:p>
          <w:p w14:paraId="556AF4A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室内机尺寸：≥885×308×211mm；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6EE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04C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r>
      <w:tr w14:paraId="4C7C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left w:val="single" w:color="000000" w:sz="4" w:space="0"/>
              <w:right w:val="single" w:color="000000" w:sz="4" w:space="0"/>
            </w:tcBorders>
            <w:shd w:val="clear" w:color="auto" w:fill="auto"/>
            <w:noWrap/>
            <w:vAlign w:val="center"/>
          </w:tcPr>
          <w:p w14:paraId="173069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1" w:type="dxa"/>
            <w:vMerge w:val="continue"/>
            <w:tcBorders>
              <w:left w:val="single" w:color="000000" w:sz="4" w:space="0"/>
              <w:right w:val="single" w:color="000000" w:sz="4" w:space="0"/>
            </w:tcBorders>
            <w:shd w:val="clear" w:color="auto" w:fill="auto"/>
            <w:vAlign w:val="center"/>
          </w:tcPr>
          <w:p w14:paraId="439B32F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EBD3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ADC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大3P柜机</w:t>
            </w:r>
          </w:p>
          <w:p w14:paraId="62A6FFC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能效等级：不低于3级；</w:t>
            </w:r>
          </w:p>
          <w:p w14:paraId="2D1C246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能效比：不低于3.51；</w:t>
            </w:r>
          </w:p>
          <w:p w14:paraId="4AF40071">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室内机尺寸：≥510×315×1750mm；</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D03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518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r>
      <w:tr w14:paraId="29D0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left w:val="single" w:color="000000" w:sz="4" w:space="0"/>
              <w:right w:val="single" w:color="000000" w:sz="4" w:space="0"/>
            </w:tcBorders>
            <w:shd w:val="clear" w:color="auto" w:fill="auto"/>
            <w:noWrap/>
            <w:vAlign w:val="center"/>
          </w:tcPr>
          <w:p w14:paraId="6DDEBCF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1" w:type="dxa"/>
            <w:vMerge w:val="continue"/>
            <w:tcBorders>
              <w:left w:val="single" w:color="000000" w:sz="4" w:space="0"/>
              <w:right w:val="single" w:color="000000" w:sz="4" w:space="0"/>
            </w:tcBorders>
            <w:shd w:val="clear" w:color="auto" w:fill="auto"/>
            <w:vAlign w:val="center"/>
          </w:tcPr>
          <w:p w14:paraId="5A8F04B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5AF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网络优化及布线</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D53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8芯纯铜超五类室外网线布放及网络组网服务；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F2C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米</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323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2000</w:t>
            </w:r>
          </w:p>
        </w:tc>
      </w:tr>
      <w:tr w14:paraId="5DF0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left w:val="single" w:color="000000" w:sz="4" w:space="0"/>
              <w:right w:val="single" w:color="000000" w:sz="4" w:space="0"/>
            </w:tcBorders>
            <w:shd w:val="clear" w:color="auto" w:fill="auto"/>
            <w:noWrap/>
            <w:vAlign w:val="center"/>
          </w:tcPr>
          <w:p w14:paraId="41A719B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1" w:type="dxa"/>
            <w:vMerge w:val="continue"/>
            <w:tcBorders>
              <w:left w:val="single" w:color="000000" w:sz="4" w:space="0"/>
              <w:right w:val="single" w:color="000000" w:sz="4" w:space="0"/>
            </w:tcBorders>
            <w:shd w:val="clear" w:color="auto" w:fill="auto"/>
            <w:vAlign w:val="center"/>
          </w:tcPr>
          <w:p w14:paraId="25C341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D69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照明灯具</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E99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LED室内灯具、走廊灯具；</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E53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盏</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30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r>
      <w:tr w14:paraId="11D74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left w:val="single" w:color="000000" w:sz="4" w:space="0"/>
              <w:right w:val="single" w:color="000000" w:sz="4" w:space="0"/>
            </w:tcBorders>
            <w:shd w:val="clear" w:color="auto" w:fill="auto"/>
            <w:noWrap/>
            <w:vAlign w:val="center"/>
          </w:tcPr>
          <w:p w14:paraId="3EAE38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1" w:type="dxa"/>
            <w:vMerge w:val="continue"/>
            <w:tcBorders>
              <w:left w:val="single" w:color="000000" w:sz="4" w:space="0"/>
              <w:right w:val="single" w:color="000000" w:sz="4" w:space="0"/>
            </w:tcBorders>
            <w:shd w:val="clear" w:color="auto" w:fill="auto"/>
            <w:vAlign w:val="center"/>
          </w:tcPr>
          <w:p w14:paraId="4E8EB3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98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防盗门</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700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钢制防盗门，2700×960mm，内开；</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E8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AD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w:t>
            </w:r>
          </w:p>
        </w:tc>
      </w:tr>
      <w:tr w14:paraId="4A67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left w:val="single" w:color="000000" w:sz="4" w:space="0"/>
              <w:right w:val="single" w:color="000000" w:sz="4" w:space="0"/>
            </w:tcBorders>
            <w:shd w:val="clear" w:color="auto" w:fill="auto"/>
            <w:noWrap/>
            <w:vAlign w:val="center"/>
          </w:tcPr>
          <w:p w14:paraId="42AF34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1" w:type="dxa"/>
            <w:vMerge w:val="continue"/>
            <w:tcBorders>
              <w:left w:val="single" w:color="000000" w:sz="4" w:space="0"/>
              <w:right w:val="single" w:color="000000" w:sz="4" w:space="0"/>
            </w:tcBorders>
            <w:shd w:val="clear" w:color="auto" w:fill="auto"/>
            <w:vAlign w:val="center"/>
          </w:tcPr>
          <w:p w14:paraId="4CFFA90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7DDD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办公用品</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6FA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班台</w:t>
            </w:r>
          </w:p>
          <w:p w14:paraId="25E06CB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尺寸：长度≥1600mm、宽度≥800mm、高度≥750mm；</w:t>
            </w:r>
          </w:p>
          <w:p w14:paraId="54DC4F8C">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材质：人造板或实木等；</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934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26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r>
      <w:tr w14:paraId="48A37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left w:val="single" w:color="000000" w:sz="4" w:space="0"/>
              <w:right w:val="single" w:color="000000" w:sz="4" w:space="0"/>
            </w:tcBorders>
            <w:shd w:val="clear" w:color="auto" w:fill="auto"/>
            <w:noWrap/>
            <w:vAlign w:val="center"/>
          </w:tcPr>
          <w:p w14:paraId="06F16E1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1" w:type="dxa"/>
            <w:vMerge w:val="continue"/>
            <w:tcBorders>
              <w:left w:val="single" w:color="000000" w:sz="4" w:space="0"/>
              <w:right w:val="single" w:color="000000" w:sz="4" w:space="0"/>
            </w:tcBorders>
            <w:shd w:val="clear" w:color="auto" w:fill="auto"/>
            <w:vAlign w:val="center"/>
          </w:tcPr>
          <w:p w14:paraId="03F86AC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85E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6C1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办公椅 </w:t>
            </w:r>
          </w:p>
          <w:p w14:paraId="2AA9CF1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尺寸：座高≥400mm、座宽≥460mm、座深≥400mm、椅背宽≥360mm；</w:t>
            </w:r>
          </w:p>
          <w:p w14:paraId="045A732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材质：特斯林网布、金属、海绵等；</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68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张</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5CC1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r>
      <w:tr w14:paraId="4DD1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left w:val="single" w:color="000000" w:sz="4" w:space="0"/>
              <w:right w:val="single" w:color="000000" w:sz="4" w:space="0"/>
            </w:tcBorders>
            <w:shd w:val="clear" w:color="auto" w:fill="auto"/>
            <w:noWrap/>
            <w:vAlign w:val="center"/>
          </w:tcPr>
          <w:p w14:paraId="322DCE2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1" w:type="dxa"/>
            <w:vMerge w:val="continue"/>
            <w:tcBorders>
              <w:left w:val="single" w:color="000000" w:sz="4" w:space="0"/>
              <w:right w:val="single" w:color="000000" w:sz="4" w:space="0"/>
            </w:tcBorders>
            <w:shd w:val="clear" w:color="auto" w:fill="auto"/>
            <w:vAlign w:val="center"/>
          </w:tcPr>
          <w:p w14:paraId="47CC29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06B5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63F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办公桌</w:t>
            </w:r>
          </w:p>
          <w:p w14:paraId="30140CA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尺寸：长度≥1100mm、宽度≥650mm、高度≥600mm；</w:t>
            </w:r>
          </w:p>
          <w:p w14:paraId="3F08C65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材质：人造板或实木等；</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D99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张</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F6D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w:t>
            </w:r>
          </w:p>
        </w:tc>
      </w:tr>
      <w:tr w14:paraId="7D2C1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left w:val="single" w:color="000000" w:sz="4" w:space="0"/>
              <w:right w:val="single" w:color="000000" w:sz="4" w:space="0"/>
            </w:tcBorders>
            <w:shd w:val="clear" w:color="auto" w:fill="auto"/>
            <w:noWrap/>
            <w:vAlign w:val="center"/>
          </w:tcPr>
          <w:p w14:paraId="5093518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1" w:type="dxa"/>
            <w:vMerge w:val="continue"/>
            <w:tcBorders>
              <w:left w:val="single" w:color="000000" w:sz="4" w:space="0"/>
              <w:right w:val="single" w:color="000000" w:sz="4" w:space="0"/>
            </w:tcBorders>
            <w:shd w:val="clear" w:color="auto" w:fill="auto"/>
            <w:vAlign w:val="center"/>
          </w:tcPr>
          <w:p w14:paraId="3478979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99B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CA5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调解洽谈桌椅</w:t>
            </w:r>
          </w:p>
          <w:p w14:paraId="10130ED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尺寸：长≥550mm、宽≥550mm，凳高≥500mm；</w:t>
            </w:r>
          </w:p>
          <w:p w14:paraId="49E7841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材质：人造板或实木等；</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604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张</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CCF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r>
      <w:tr w14:paraId="32BCA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left w:val="single" w:color="000000" w:sz="4" w:space="0"/>
              <w:right w:val="single" w:color="000000" w:sz="4" w:space="0"/>
            </w:tcBorders>
            <w:shd w:val="clear" w:color="auto" w:fill="auto"/>
            <w:noWrap/>
            <w:vAlign w:val="center"/>
          </w:tcPr>
          <w:p w14:paraId="00E137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1" w:type="dxa"/>
            <w:vMerge w:val="continue"/>
            <w:tcBorders>
              <w:left w:val="single" w:color="000000" w:sz="4" w:space="0"/>
              <w:right w:val="single" w:color="000000" w:sz="4" w:space="0"/>
            </w:tcBorders>
            <w:shd w:val="clear" w:color="auto" w:fill="auto"/>
            <w:vAlign w:val="center"/>
          </w:tcPr>
          <w:p w14:paraId="40AD901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597F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EE4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会客洽谈办公椅</w:t>
            </w:r>
          </w:p>
          <w:p w14:paraId="255AE44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尺寸：总高≥800mm、座高≥430mm、背高≥400mm、座宽≥450mm、扶手高≥230mm；</w:t>
            </w:r>
          </w:p>
          <w:p w14:paraId="0F127E11">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材质：高弹网布、电镀钢架等；</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6F5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张</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40E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r>
      <w:tr w14:paraId="04D8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left w:val="single" w:color="000000" w:sz="4" w:space="0"/>
              <w:right w:val="single" w:color="000000" w:sz="4" w:space="0"/>
            </w:tcBorders>
            <w:shd w:val="clear" w:color="auto" w:fill="auto"/>
            <w:noWrap/>
            <w:vAlign w:val="center"/>
          </w:tcPr>
          <w:p w14:paraId="2D694BA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1" w:type="dxa"/>
            <w:vMerge w:val="continue"/>
            <w:tcBorders>
              <w:left w:val="single" w:color="000000" w:sz="4" w:space="0"/>
              <w:right w:val="single" w:color="000000" w:sz="4" w:space="0"/>
            </w:tcBorders>
            <w:shd w:val="clear" w:color="auto" w:fill="auto"/>
            <w:vAlign w:val="center"/>
          </w:tcPr>
          <w:p w14:paraId="225611A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B623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AFC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办公书柜两开门</w:t>
            </w:r>
          </w:p>
          <w:p w14:paraId="2F0C900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尺寸：高度≥1800mm、宽度≥900mm、深度≥350mm；</w:t>
            </w:r>
          </w:p>
          <w:p w14:paraId="4B52AA9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材质：玻璃、人造板材、合金等；</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76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组</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7E7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r>
      <w:tr w14:paraId="182D7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left w:val="single" w:color="000000" w:sz="4" w:space="0"/>
              <w:right w:val="single" w:color="000000" w:sz="4" w:space="0"/>
            </w:tcBorders>
            <w:shd w:val="clear" w:color="auto" w:fill="auto"/>
            <w:noWrap/>
            <w:vAlign w:val="center"/>
          </w:tcPr>
          <w:p w14:paraId="5A0C58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1" w:type="dxa"/>
            <w:vMerge w:val="continue"/>
            <w:tcBorders>
              <w:left w:val="single" w:color="000000" w:sz="4" w:space="0"/>
              <w:right w:val="single" w:color="000000" w:sz="4" w:space="0"/>
            </w:tcBorders>
            <w:shd w:val="clear" w:color="auto" w:fill="auto"/>
            <w:vAlign w:val="center"/>
          </w:tcPr>
          <w:p w14:paraId="6BC8BDD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969E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AEB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书架</w:t>
            </w:r>
          </w:p>
          <w:p w14:paraId="4A8CA14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尺寸：长度≥2000mm、深度≥280mm、高度≥1900mm；</w:t>
            </w:r>
          </w:p>
          <w:p w14:paraId="6F402B17">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材质：人造板材或实木等；</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D1E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组</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FA79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r>
      <w:tr w14:paraId="658B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left w:val="single" w:color="000000" w:sz="4" w:space="0"/>
              <w:right w:val="single" w:color="000000" w:sz="4" w:space="0"/>
            </w:tcBorders>
            <w:shd w:val="clear" w:color="auto" w:fill="auto"/>
            <w:noWrap/>
            <w:vAlign w:val="center"/>
          </w:tcPr>
          <w:p w14:paraId="1EF6D70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1" w:type="dxa"/>
            <w:vMerge w:val="continue"/>
            <w:tcBorders>
              <w:left w:val="single" w:color="000000" w:sz="4" w:space="0"/>
              <w:right w:val="single" w:color="000000" w:sz="4" w:space="0"/>
            </w:tcBorders>
            <w:shd w:val="clear" w:color="auto" w:fill="auto"/>
            <w:vAlign w:val="center"/>
          </w:tcPr>
          <w:p w14:paraId="586A46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792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FE7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文件柜</w:t>
            </w:r>
          </w:p>
          <w:p w14:paraId="1D840BD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尺寸：高度≥1800mm、宽度≥90mm、深度≥350mm；</w:t>
            </w:r>
          </w:p>
          <w:p w14:paraId="079A3733">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材质：钢制、玻璃等；</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351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6C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r>
      <w:tr w14:paraId="2F6B2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left w:val="single" w:color="000000" w:sz="4" w:space="0"/>
              <w:right w:val="single" w:color="000000" w:sz="4" w:space="0"/>
            </w:tcBorders>
            <w:shd w:val="clear" w:color="auto" w:fill="auto"/>
            <w:noWrap/>
            <w:vAlign w:val="center"/>
          </w:tcPr>
          <w:p w14:paraId="1E955F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1" w:type="dxa"/>
            <w:vMerge w:val="continue"/>
            <w:tcBorders>
              <w:left w:val="single" w:color="000000" w:sz="4" w:space="0"/>
              <w:right w:val="single" w:color="000000" w:sz="4" w:space="0"/>
            </w:tcBorders>
            <w:shd w:val="clear" w:color="auto" w:fill="auto"/>
            <w:vAlign w:val="center"/>
          </w:tcPr>
          <w:p w14:paraId="28E90F8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E9A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墙面、防盗网刷漆</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15E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办公室、走廊、楼梯间墙面打磨刷漆，窗户防盗网刷漆，银浆漆涂刷2两遍；</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18A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CDC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2500</w:t>
            </w:r>
          </w:p>
        </w:tc>
      </w:tr>
      <w:tr w14:paraId="08FB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left w:val="single" w:color="000000" w:sz="4" w:space="0"/>
              <w:right w:val="single" w:color="000000" w:sz="4" w:space="0"/>
            </w:tcBorders>
            <w:shd w:val="clear" w:color="auto" w:fill="auto"/>
            <w:noWrap/>
            <w:vAlign w:val="center"/>
          </w:tcPr>
          <w:p w14:paraId="7EF53CD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1" w:type="dxa"/>
            <w:vMerge w:val="continue"/>
            <w:tcBorders>
              <w:left w:val="single" w:color="000000" w:sz="4" w:space="0"/>
              <w:right w:val="single" w:color="000000" w:sz="4" w:space="0"/>
            </w:tcBorders>
            <w:shd w:val="clear" w:color="auto" w:fill="auto"/>
            <w:vAlign w:val="center"/>
          </w:tcPr>
          <w:p w14:paraId="69C1827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8F2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卫生间改造</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B3A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改造男、女卫生间各1个，拆除原有装修，更换安装便池、洗手池、隔断等；</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B06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7C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r>
      <w:tr w14:paraId="4A902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left w:val="single" w:color="000000" w:sz="4" w:space="0"/>
              <w:right w:val="single" w:color="000000" w:sz="4" w:space="0"/>
            </w:tcBorders>
            <w:shd w:val="clear" w:color="auto" w:fill="auto"/>
            <w:noWrap/>
            <w:vAlign w:val="center"/>
          </w:tcPr>
          <w:p w14:paraId="4CD338C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1" w:type="dxa"/>
            <w:vMerge w:val="continue"/>
            <w:tcBorders>
              <w:left w:val="single" w:color="000000" w:sz="4" w:space="0"/>
              <w:right w:val="single" w:color="000000" w:sz="4" w:space="0"/>
            </w:tcBorders>
            <w:shd w:val="clear" w:color="auto" w:fill="auto"/>
            <w:vAlign w:val="center"/>
          </w:tcPr>
          <w:p w14:paraId="0096568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ECA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窗户改造</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D02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石膏板双层封闭窗户，办公室安装88型材塑钢窗；</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077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sz w:val="24"/>
                <w:szCs w:val="24"/>
                <w:highlight w:val="none"/>
                <w:u w:val="none"/>
                <w:lang w:val="en-US" w:eastAsia="zh-CN"/>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0B0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135</w:t>
            </w:r>
          </w:p>
        </w:tc>
      </w:tr>
      <w:tr w14:paraId="7AE0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left w:val="single" w:color="000000" w:sz="4" w:space="0"/>
              <w:right w:val="single" w:color="000000" w:sz="4" w:space="0"/>
            </w:tcBorders>
            <w:shd w:val="clear" w:color="auto" w:fill="auto"/>
            <w:noWrap/>
            <w:vAlign w:val="center"/>
          </w:tcPr>
          <w:p w14:paraId="1E93306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1" w:type="dxa"/>
            <w:vMerge w:val="continue"/>
            <w:tcBorders>
              <w:left w:val="single" w:color="000000" w:sz="4" w:space="0"/>
              <w:right w:val="single" w:color="000000" w:sz="4" w:space="0"/>
            </w:tcBorders>
            <w:shd w:val="clear" w:color="auto" w:fill="auto"/>
            <w:vAlign w:val="center"/>
          </w:tcPr>
          <w:p w14:paraId="211A067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CE8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地面保洁服务</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800A">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地面深度清洁，包括不限于地面清洁与保养，扫净地面灰尘、杂物、垃圾，重点清理墙角、门缝、家具底部等死角，拖洗地面，去除污渍、印记，将清扫的垃圾分类打包，清运至指定地点；</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EB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sz w:val="24"/>
                <w:szCs w:val="24"/>
                <w:highlight w:val="none"/>
                <w:u w:val="none"/>
                <w:lang w:val="en-US" w:eastAsia="zh-CN"/>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401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r>
      <w:tr w14:paraId="22273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left w:val="single" w:color="000000" w:sz="4" w:space="0"/>
              <w:right w:val="single" w:color="000000" w:sz="4" w:space="0"/>
            </w:tcBorders>
            <w:shd w:val="clear" w:color="auto" w:fill="auto"/>
            <w:noWrap/>
            <w:vAlign w:val="center"/>
          </w:tcPr>
          <w:p w14:paraId="2C81339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1" w:type="dxa"/>
            <w:vMerge w:val="continue"/>
            <w:tcBorders>
              <w:left w:val="single" w:color="000000" w:sz="4" w:space="0"/>
              <w:right w:val="single" w:color="000000" w:sz="4" w:space="0"/>
            </w:tcBorders>
            <w:shd w:val="clear" w:color="auto" w:fill="auto"/>
            <w:vAlign w:val="center"/>
          </w:tcPr>
          <w:p w14:paraId="5BC20C9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BFA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窗帘</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5739">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2.2*4.3米，雪尼尔布，铝合金轨道；</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5E0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E0F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w:t>
            </w:r>
          </w:p>
        </w:tc>
      </w:tr>
      <w:tr w14:paraId="527EF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left w:val="single" w:color="000000" w:sz="4" w:space="0"/>
              <w:right w:val="single" w:color="000000" w:sz="4" w:space="0"/>
            </w:tcBorders>
            <w:shd w:val="clear" w:color="auto" w:fill="auto"/>
            <w:noWrap/>
            <w:vAlign w:val="center"/>
          </w:tcPr>
          <w:p w14:paraId="2C3CDB0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1" w:type="dxa"/>
            <w:vMerge w:val="continue"/>
            <w:tcBorders>
              <w:left w:val="single" w:color="000000" w:sz="4" w:space="0"/>
              <w:right w:val="single" w:color="000000" w:sz="4" w:space="0"/>
            </w:tcBorders>
            <w:shd w:val="clear" w:color="auto" w:fill="auto"/>
            <w:vAlign w:val="center"/>
          </w:tcPr>
          <w:p w14:paraId="12280D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E7F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房间改造</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B69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原有墙体改建及建筑垃圾清运；</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B0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m³</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8457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r>
      <w:tr w14:paraId="2389A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8" w:type="dxa"/>
            <w:vMerge w:val="continue"/>
            <w:tcBorders>
              <w:left w:val="single" w:color="000000" w:sz="4" w:space="0"/>
              <w:bottom w:val="single" w:color="000000" w:sz="4" w:space="0"/>
              <w:right w:val="single" w:color="000000" w:sz="4" w:space="0"/>
            </w:tcBorders>
            <w:shd w:val="clear" w:color="auto" w:fill="auto"/>
            <w:noWrap/>
            <w:vAlign w:val="center"/>
          </w:tcPr>
          <w:p w14:paraId="73E1DE5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31" w:type="dxa"/>
            <w:vMerge w:val="continue"/>
            <w:tcBorders>
              <w:left w:val="single" w:color="000000" w:sz="4" w:space="0"/>
              <w:bottom w:val="single" w:color="000000" w:sz="4" w:space="0"/>
              <w:right w:val="single" w:color="000000" w:sz="4" w:space="0"/>
            </w:tcBorders>
            <w:shd w:val="clear" w:color="auto" w:fill="auto"/>
            <w:vAlign w:val="center"/>
          </w:tcPr>
          <w:p w14:paraId="5A79F6C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1A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版面设计及安装</w:t>
            </w:r>
          </w:p>
        </w:tc>
        <w:tc>
          <w:tcPr>
            <w:tcW w:w="5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DDF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定制专业宣传元素，使用亚克力、塑料胶封等；</w:t>
            </w:r>
          </w:p>
          <w:p w14:paraId="3624298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整体尺寸≥100㎡；</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EC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A21C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100</w:t>
            </w:r>
          </w:p>
        </w:tc>
      </w:tr>
    </w:tbl>
    <w:p w14:paraId="5DCCDA10">
      <w:pPr>
        <w:keepNext w:val="0"/>
        <w:keepLines w:val="0"/>
        <w:pageBreakBefore w:val="0"/>
        <w:kinsoku/>
        <w:overflowPunct/>
        <w:topLinePunct w:val="0"/>
        <w:autoSpaceDE/>
        <w:autoSpaceDN/>
        <w:bidi w:val="0"/>
        <w:adjustRightInd/>
        <w:spacing w:line="360" w:lineRule="auto"/>
        <w:textAlignment w:val="auto"/>
        <w:rPr>
          <w:rFonts w:hint="eastAsia" w:ascii="宋体" w:hAnsi="宋体" w:cs="宋体"/>
          <w:b/>
          <w:bCs/>
          <w:color w:val="auto"/>
          <w:sz w:val="24"/>
          <w:highlight w:val="none"/>
          <w:lang w:val="en-US" w:eastAsia="zh-CN"/>
        </w:rPr>
      </w:pPr>
    </w:p>
    <w:p w14:paraId="4D0079EE">
      <w:pPr>
        <w:keepNext w:val="0"/>
        <w:keepLines w:val="0"/>
        <w:pageBreakBefore w:val="0"/>
        <w:kinsoku/>
        <w:overflowPunct/>
        <w:topLinePunct w:val="0"/>
        <w:autoSpaceDE/>
        <w:autoSpaceDN/>
        <w:bidi w:val="0"/>
        <w:adjustRightInd/>
        <w:spacing w:line="360" w:lineRule="auto"/>
        <w:textAlignment w:val="auto"/>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三、技术标准规范</w:t>
      </w:r>
    </w:p>
    <w:p w14:paraId="579BA3FD">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1.《公共安全视频监控联网系统信息传输、交换、控制技术要求》（GB/T 28181-2022）；</w:t>
      </w:r>
    </w:p>
    <w:p w14:paraId="359189A5">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2.《公安视频图像信息应用系统技术要求》（GA/T 1399-2022）；</w:t>
      </w:r>
    </w:p>
    <w:p w14:paraId="224FC6CA">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3.《三门峡市公共视频监控系统建设规范》（SMX/JS 001-2023）；</w:t>
      </w:r>
    </w:p>
    <w:p w14:paraId="229E8F6B">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4.《公共安全视频监控联网信息安全技术要求》（GB 35114-2017）；</w:t>
      </w:r>
    </w:p>
    <w:p w14:paraId="26757FBD">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HYPERLINK "javascript:void(0)"</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公共安全重点区域视频图像信息采集规范</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"javascript:void(0)"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GB 37300-2018</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p>
    <w:p w14:paraId="7AA6D749">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6.《安全防范视频监控人脸识别系统技术要求》（</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HYPERLINK "javascript:void(0)"</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GB/T 31488-2015</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p>
    <w:p w14:paraId="6D4C540A">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7.《信息安全技术信息系统密码应用基本要求》（GB/T 39786-2021）；</w:t>
      </w:r>
    </w:p>
    <w:p w14:paraId="7CADAF51">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8.《信息安全技术 网络安全等级保护测评过程指南》GB/T 28449-2018；</w:t>
      </w:r>
    </w:p>
    <w:p w14:paraId="6F337C3F">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9.《信息安全技术 网络安全等级保护基本要求》GB/T 22239-2019；</w:t>
      </w:r>
    </w:p>
    <w:p w14:paraId="4074C9DC">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10.《信息技术安全技术信息安全风险管理》（GB/T31722-2015）；</w:t>
      </w:r>
    </w:p>
    <w:p w14:paraId="2B99470A">
      <w:pPr>
        <w:keepNext w:val="0"/>
        <w:keepLines w:val="0"/>
        <w:pageBreakBefore w:val="0"/>
        <w:widowControl w:val="0"/>
        <w:kinsoku/>
        <w:wordWrap/>
        <w:overflowPunct/>
        <w:topLinePunct w:val="0"/>
        <w:autoSpaceDE/>
        <w:autoSpaceDN/>
        <w:bidi w:val="0"/>
        <w:adjustRightInd/>
        <w:snapToGrid/>
        <w:spacing w:before="120" w:after="120"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11.《信息安全技术 网络安全等级保护安全管理中心技术要求》GB/T 36958-2018；</w:t>
      </w:r>
    </w:p>
    <w:p w14:paraId="2A26C1D8">
      <w:pPr>
        <w:pStyle w:val="2"/>
        <w:keepNext/>
        <w:keepLines/>
        <w:pageBreakBefore w:val="0"/>
        <w:widowControl w:val="0"/>
        <w:tabs>
          <w:tab w:val="left" w:pos="432"/>
        </w:tabs>
        <w:kinsoku/>
        <w:wordWrap/>
        <w:overflowPunct/>
        <w:topLinePunct w:val="0"/>
        <w:autoSpaceDE/>
        <w:autoSpaceDN/>
        <w:bidi w:val="0"/>
        <w:adjustRightInd w:val="0"/>
        <w:snapToGrid/>
        <w:spacing w:before="0" w:beforeAutospacing="0" w:after="0" w:afterAutospacing="0" w:line="360" w:lineRule="auto"/>
        <w:ind w:left="431" w:hanging="431"/>
        <w:textAlignment w:val="auto"/>
        <w:rPr>
          <w:rFonts w:hint="eastAsia" w:ascii="宋体" w:hAnsi="宋体" w:eastAsia="宋体" w:cs="宋体"/>
          <w:b/>
          <w:bCs/>
          <w:color w:val="auto"/>
          <w:kern w:val="2"/>
          <w:sz w:val="24"/>
          <w:szCs w:val="24"/>
          <w:highlight w:val="none"/>
          <w:lang w:val="en-US" w:eastAsia="zh-CN" w:bidi="ar-SA"/>
        </w:rPr>
      </w:pPr>
      <w:bookmarkStart w:id="271" w:name="_Toc25581"/>
      <w:r>
        <w:rPr>
          <w:rFonts w:hint="eastAsia" w:ascii="宋体" w:hAnsi="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en-US" w:eastAsia="zh-CN" w:bidi="ar-SA"/>
        </w:rPr>
        <w:t>、其他要求</w:t>
      </w:r>
      <w:bookmarkEnd w:id="271"/>
    </w:p>
    <w:p w14:paraId="5BB868C4">
      <w:pPr>
        <w:spacing w:beforeAutospacing="0"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1、在服务期内，</w:t>
      </w:r>
      <w:r>
        <w:rPr>
          <w:rFonts w:hint="eastAsia" w:ascii="宋体" w:hAnsi="宋体" w:eastAsia="宋体" w:cs="宋体"/>
          <w:color w:val="auto"/>
          <w:kern w:val="0"/>
          <w:sz w:val="24"/>
          <w:szCs w:val="24"/>
          <w:highlight w:val="none"/>
        </w:rPr>
        <w:t>中标单位与采购人签订合同后需按采购人要求完成全部点位的接入及上线。不得延误工期，</w:t>
      </w:r>
      <w:r>
        <w:rPr>
          <w:rFonts w:hint="eastAsia" w:ascii="宋体" w:hAnsi="宋体" w:eastAsia="宋体" w:cs="宋体"/>
          <w:color w:val="auto"/>
          <w:kern w:val="0"/>
          <w:sz w:val="24"/>
          <w:highlight w:val="none"/>
        </w:rPr>
        <w:t>不得以任何理由</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szCs w:val="24"/>
          <w:highlight w:val="none"/>
        </w:rPr>
        <w:t>影响采购</w:t>
      </w:r>
      <w:r>
        <w:rPr>
          <w:rFonts w:hint="eastAsia" w:ascii="宋体" w:hAnsi="宋体" w:eastAsia="宋体" w:cs="宋体"/>
          <w:color w:val="auto"/>
          <w:kern w:val="0"/>
          <w:sz w:val="24"/>
          <w:szCs w:val="24"/>
          <w:highlight w:val="none"/>
          <w:lang w:eastAsia="zh-CN"/>
        </w:rPr>
        <w:t>人</w:t>
      </w:r>
      <w:r>
        <w:rPr>
          <w:rFonts w:hint="eastAsia" w:ascii="宋体" w:hAnsi="宋体" w:eastAsia="宋体" w:cs="宋体"/>
          <w:color w:val="auto"/>
          <w:kern w:val="0"/>
          <w:sz w:val="24"/>
          <w:szCs w:val="24"/>
          <w:highlight w:val="none"/>
        </w:rPr>
        <w:t>按期</w:t>
      </w:r>
      <w:r>
        <w:rPr>
          <w:rFonts w:hint="eastAsia" w:ascii="宋体" w:hAnsi="宋体" w:eastAsia="宋体" w:cs="宋体"/>
          <w:color w:val="auto"/>
          <w:kern w:val="0"/>
          <w:sz w:val="24"/>
          <w:highlight w:val="none"/>
        </w:rPr>
        <w:t>正常</w:t>
      </w:r>
      <w:r>
        <w:rPr>
          <w:rFonts w:hint="eastAsia" w:ascii="宋体" w:hAnsi="宋体" w:eastAsia="宋体" w:cs="宋体"/>
          <w:color w:val="auto"/>
          <w:kern w:val="0"/>
          <w:sz w:val="24"/>
          <w:szCs w:val="24"/>
          <w:highlight w:val="none"/>
        </w:rPr>
        <w:t>使用</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rPr>
        <w:t xml:space="preserve"> </w:t>
      </w:r>
    </w:p>
    <w:p w14:paraId="476853A1">
      <w:pPr>
        <w:spacing w:line="360" w:lineRule="auto"/>
        <w:ind w:firstLine="482" w:firstLineChars="200"/>
        <w:rPr>
          <w:rFonts w:hint="eastAsia" w:ascii="宋体" w:hAnsi="宋体" w:eastAsia="宋体" w:cs="宋体"/>
          <w:color w:val="auto"/>
          <w:kern w:val="0"/>
          <w:sz w:val="24"/>
          <w:highlight w:val="none"/>
        </w:rPr>
      </w:pPr>
      <w:r>
        <w:rPr>
          <w:rFonts w:hint="eastAsia" w:ascii="宋体" w:hAnsi="宋体" w:cs="宋体"/>
          <w:b/>
          <w:bCs/>
          <w:color w:val="auto"/>
          <w:kern w:val="0"/>
          <w:sz w:val="24"/>
          <w:highlight w:val="none"/>
          <w:lang w:val="en-US" w:eastAsia="zh-CN"/>
        </w:rPr>
        <w:t>2</w:t>
      </w:r>
      <w:r>
        <w:rPr>
          <w:rFonts w:hint="eastAsia" w:ascii="宋体" w:hAnsi="宋体" w:eastAsia="宋体" w:cs="宋体"/>
          <w:b/>
          <w:bCs/>
          <w:color w:val="auto"/>
          <w:kern w:val="0"/>
          <w:sz w:val="24"/>
          <w:highlight w:val="none"/>
        </w:rPr>
        <w:t>、技术支持要求</w:t>
      </w:r>
      <w:r>
        <w:rPr>
          <w:rFonts w:hint="eastAsia" w:ascii="宋体" w:hAnsi="宋体" w:eastAsia="宋体" w:cs="宋体"/>
          <w:color w:val="auto"/>
          <w:kern w:val="0"/>
          <w:sz w:val="24"/>
          <w:highlight w:val="none"/>
        </w:rPr>
        <w:t>：</w:t>
      </w:r>
    </w:p>
    <w:p w14:paraId="1591FAE3">
      <w:pPr>
        <w:spacing w:line="360" w:lineRule="auto"/>
        <w:ind w:firstLine="720" w:firstLineChars="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1）设备维护服务</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 xml:space="preserve">通过现场巡检、日常维护技术支持、技术培训等措施降低或规避设备故障。 </w:t>
      </w:r>
    </w:p>
    <w:p w14:paraId="3CF96A2B">
      <w:pPr>
        <w:spacing w:line="360" w:lineRule="auto"/>
        <w:ind w:firstLine="720" w:firstLineChars="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2）操作系统维护</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对针对合同约定设备系统，周期性的对设备系统自身的操作系统进行维护。对设备的运行环境进行检查和维护，消除故障隐患等。工作完成后，将维护记录在巡检工作报告中进行描述。</w:t>
      </w:r>
    </w:p>
    <w:p w14:paraId="722134EE">
      <w:pPr>
        <w:spacing w:line="360" w:lineRule="auto"/>
        <w:ind w:firstLine="720" w:firstLineChars="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3）服务响应时间</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投标人承诺实行24小时电话服务，维修技术人员实行无节假日的7*24小时上门响应服务。</w:t>
      </w:r>
    </w:p>
    <w:p w14:paraId="34693ABC">
      <w:pPr>
        <w:spacing w:line="360" w:lineRule="auto"/>
        <w:ind w:firstLine="720" w:firstLineChars="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对一般设备故障，采购人可通过投标人所提供热线电话取得技术支持服务。投标人在接到采购人的故障申告电话后应于30分钟内响应，如故障未能在2小时内通过远程支持得到解决，投标人应将根据采购人要求派指定维护工程师以最快方式赶往故障现场，在规定的时间内恢复设备运行。</w:t>
      </w:r>
    </w:p>
    <w:p w14:paraId="709F77F5">
      <w:pPr>
        <w:spacing w:line="360" w:lineRule="auto"/>
        <w:ind w:firstLine="720" w:firstLineChars="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4）突发故障工程师到场时间要求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如故障未能在2小时内通过远程支持解决，投标人工程师必须在其后的2小时内到达故障现场。</w:t>
      </w:r>
    </w:p>
    <w:p w14:paraId="33991BBE">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如不能通过远程支持处理的故障，投标人的工程师必须在接到故障告知后的4小时内到达故障现场。</w:t>
      </w:r>
    </w:p>
    <w:p w14:paraId="516F4EE5">
      <w:pPr>
        <w:spacing w:line="360" w:lineRule="auto"/>
        <w:ind w:firstLine="720" w:firstLineChars="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5）系统恢复时间</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投标人服务工程师到达故障现场后，应于4小时内恢复系统的正常运行（若需更换硬件，确保6小时内提供更换备件，并根据采购人需要提供备用设备，硬件所有备品、备件为原产商生产的新品），并收集现场信息以便完成故障分析。</w:t>
      </w:r>
    </w:p>
    <w:p w14:paraId="79B8B671">
      <w:pPr>
        <w:spacing w:line="360" w:lineRule="auto"/>
        <w:ind w:firstLine="482" w:firstLineChars="200"/>
        <w:rPr>
          <w:rFonts w:hint="eastAsia" w:ascii="宋体" w:hAnsi="宋体" w:eastAsia="宋体" w:cs="宋体"/>
          <w:color w:val="auto"/>
          <w:kern w:val="0"/>
          <w:sz w:val="24"/>
          <w:highlight w:val="none"/>
          <w:lang w:eastAsia="zh-CN"/>
        </w:rPr>
      </w:pP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报价要求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包括一切设备费用、标准附件、线材、布线相关配件、线路、配件、辅件、安装、测试、存储、电费、软件开发、运维人员、改造费用、更新费用、视频监控线路传输费、设备电力接入费、软件费用、包装、劳务、管理、材料、维护、人工人力、服务器费用、备品备件、专用工具、运输、系统、系统集成、运行维护、基础电信服务、增值电信服务、装卸、保险、调试、培训、保修、维修、驻点人员费用、项目检测费、日常维护费、利润、税金等完成合同所需的一切本身和不可或缺的所有工作开支、政策性文件规定及合同包含的所有风险、责任等各项全部费用并由供应商承担一切</w:t>
      </w:r>
      <w:r>
        <w:rPr>
          <w:rFonts w:hint="eastAsia" w:ascii="宋体" w:hAnsi="宋体" w:eastAsia="宋体" w:cs="宋体"/>
          <w:color w:val="auto"/>
          <w:kern w:val="0"/>
          <w:sz w:val="24"/>
          <w:highlight w:val="none"/>
          <w:lang w:eastAsia="zh-CN"/>
        </w:rPr>
        <w:t>。</w:t>
      </w:r>
    </w:p>
    <w:p w14:paraId="1A4EB85A">
      <w:pPr>
        <w:numPr>
          <w:ilvl w:val="0"/>
          <w:numId w:val="0"/>
        </w:numPr>
        <w:spacing w:line="360" w:lineRule="auto"/>
        <w:ind w:firstLine="482" w:firstLineChars="200"/>
        <w:rPr>
          <w:rFonts w:hint="eastAsia" w:ascii="宋体" w:hAnsi="宋体" w:eastAsia="宋体" w:cs="宋体"/>
          <w:color w:val="auto"/>
          <w:kern w:val="0"/>
          <w:sz w:val="24"/>
          <w:highlight w:val="none"/>
          <w:lang w:eastAsia="zh-CN"/>
        </w:rPr>
      </w:pPr>
      <w:r>
        <w:rPr>
          <w:rFonts w:hint="eastAsia" w:ascii="宋体" w:hAnsi="宋体" w:eastAsia="宋体" w:cs="宋体"/>
          <w:b/>
          <w:bCs/>
          <w:color w:val="auto"/>
          <w:kern w:val="0"/>
          <w:sz w:val="24"/>
          <w:highlight w:val="none"/>
          <w:lang w:val="en-US" w:eastAsia="zh-CN"/>
        </w:rPr>
        <w:t>4、</w:t>
      </w:r>
      <w:r>
        <w:rPr>
          <w:rFonts w:hint="eastAsia" w:ascii="宋体" w:hAnsi="宋体" w:eastAsia="宋体" w:cs="宋体"/>
          <w:b/>
          <w:bCs/>
          <w:color w:val="auto"/>
          <w:kern w:val="0"/>
          <w:sz w:val="24"/>
          <w:highlight w:val="none"/>
        </w:rPr>
        <w:t>付款方式</w:t>
      </w:r>
      <w:r>
        <w:rPr>
          <w:rFonts w:hint="eastAsia" w:ascii="宋体" w:hAnsi="宋体" w:eastAsia="宋体" w:cs="宋体"/>
          <w:color w:val="auto"/>
          <w:kern w:val="0"/>
          <w:sz w:val="24"/>
          <w:highlight w:val="none"/>
          <w:lang w:eastAsia="zh-CN"/>
        </w:rPr>
        <w:t>：</w:t>
      </w:r>
    </w:p>
    <w:p w14:paraId="6CAA6A13">
      <w:pPr>
        <w:numPr>
          <w:ilvl w:val="0"/>
          <w:numId w:val="0"/>
        </w:numPr>
        <w:spacing w:line="360" w:lineRule="auto"/>
        <w:ind w:firstLine="720" w:firstLineChars="300"/>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（1）</w:t>
      </w:r>
      <w:r>
        <w:rPr>
          <w:rFonts w:hint="eastAsia" w:ascii="宋体" w:hAnsi="宋体" w:eastAsia="宋体" w:cs="宋体"/>
          <w:b w:val="0"/>
          <w:bCs w:val="0"/>
          <w:color w:val="auto"/>
          <w:sz w:val="24"/>
          <w:highlight w:val="none"/>
          <w:lang w:val="en-US" w:eastAsia="zh-CN"/>
        </w:rPr>
        <w:t>本合同签订后，乙方完成项目总工程量的50%，甲方于</w:t>
      </w:r>
      <w:r>
        <w:rPr>
          <w:rFonts w:hint="eastAsia" w:ascii="宋体" w:hAnsi="宋体" w:cs="宋体"/>
          <w:b w:val="0"/>
          <w:bCs w:val="0"/>
          <w:color w:val="auto"/>
          <w:sz w:val="24"/>
          <w:highlight w:val="none"/>
          <w:lang w:val="en-US" w:eastAsia="zh-CN"/>
        </w:rPr>
        <w:t>7</w:t>
      </w:r>
      <w:r>
        <w:rPr>
          <w:rFonts w:hint="eastAsia" w:ascii="宋体" w:hAnsi="宋体" w:eastAsia="宋体" w:cs="宋体"/>
          <w:b w:val="0"/>
          <w:bCs w:val="0"/>
          <w:color w:val="auto"/>
          <w:sz w:val="24"/>
          <w:highlight w:val="none"/>
          <w:lang w:val="en-US" w:eastAsia="zh-CN"/>
        </w:rPr>
        <w:t>个工作日内支付合同总金额的30%；</w:t>
      </w:r>
    </w:p>
    <w:p w14:paraId="78BB1046">
      <w:pPr>
        <w:numPr>
          <w:ilvl w:val="0"/>
          <w:numId w:val="0"/>
        </w:numPr>
        <w:spacing w:line="360" w:lineRule="auto"/>
        <w:ind w:leftChars="0" w:firstLine="720" w:firstLineChars="300"/>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（2）</w:t>
      </w:r>
      <w:r>
        <w:rPr>
          <w:rFonts w:hint="eastAsia" w:ascii="宋体" w:hAnsi="宋体" w:eastAsia="宋体" w:cs="宋体"/>
          <w:b w:val="0"/>
          <w:bCs w:val="0"/>
          <w:color w:val="auto"/>
          <w:sz w:val="24"/>
          <w:highlight w:val="none"/>
          <w:lang w:val="en-US" w:eastAsia="zh-CN"/>
        </w:rPr>
        <w:t>项目全部完工后，甲方于</w:t>
      </w:r>
      <w:r>
        <w:rPr>
          <w:rFonts w:hint="eastAsia" w:ascii="宋体" w:hAnsi="宋体" w:cs="宋体"/>
          <w:b w:val="0"/>
          <w:bCs w:val="0"/>
          <w:color w:val="auto"/>
          <w:sz w:val="24"/>
          <w:highlight w:val="none"/>
          <w:lang w:val="en-US" w:eastAsia="zh-CN"/>
        </w:rPr>
        <w:t>7</w:t>
      </w:r>
      <w:r>
        <w:rPr>
          <w:rFonts w:hint="eastAsia" w:ascii="宋体" w:hAnsi="宋体" w:eastAsia="宋体" w:cs="宋体"/>
          <w:b w:val="0"/>
          <w:bCs w:val="0"/>
          <w:color w:val="auto"/>
          <w:sz w:val="24"/>
          <w:highlight w:val="none"/>
          <w:lang w:val="en-US" w:eastAsia="zh-CN"/>
        </w:rPr>
        <w:t>个工作日内支付至合同总金额的60%</w:t>
      </w:r>
      <w:r>
        <w:rPr>
          <w:rFonts w:hint="eastAsia" w:ascii="宋体" w:hAnsi="宋体" w:cs="宋体"/>
          <w:b w:val="0"/>
          <w:bCs w:val="0"/>
          <w:color w:val="auto"/>
          <w:sz w:val="24"/>
          <w:highlight w:val="none"/>
          <w:lang w:val="en-US" w:eastAsia="zh-CN"/>
        </w:rPr>
        <w:t>；</w:t>
      </w:r>
    </w:p>
    <w:p w14:paraId="0B7FD798">
      <w:pPr>
        <w:numPr>
          <w:ilvl w:val="0"/>
          <w:numId w:val="0"/>
        </w:numPr>
        <w:spacing w:line="360" w:lineRule="auto"/>
        <w:ind w:firstLine="720" w:firstLineChars="300"/>
        <w:rPr>
          <w:rFonts w:hint="eastAsia"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（3）项目经甲方验收合格后，甲方于7个工作日内支付至合同总金额的90%；</w:t>
      </w:r>
    </w:p>
    <w:p w14:paraId="3B68BE6B">
      <w:pPr>
        <w:spacing w:line="360" w:lineRule="auto"/>
        <w:ind w:firstLine="720" w:firstLineChars="300"/>
        <w:rPr>
          <w:rFonts w:hint="eastAsia" w:ascii="宋体" w:hAnsi="宋体" w:eastAsia="宋体" w:cs="宋体"/>
          <w:color w:val="auto"/>
          <w:kern w:val="0"/>
          <w:sz w:val="24"/>
          <w:highlight w:val="none"/>
          <w:lang w:eastAsia="zh-CN"/>
        </w:rPr>
      </w:pPr>
      <w:r>
        <w:rPr>
          <w:rFonts w:hint="eastAsia" w:ascii="宋体" w:hAnsi="宋体" w:cs="宋体"/>
          <w:b w:val="0"/>
          <w:bCs w:val="0"/>
          <w:color w:val="auto"/>
          <w:sz w:val="24"/>
          <w:highlight w:val="none"/>
          <w:lang w:val="en-US" w:eastAsia="zh-CN"/>
        </w:rPr>
        <w:t>（4）剩余合同总金额的10%作为质保金，自项目验收合格之日起，至质保期满且无质量问题后，甲方于7个工作日内一次性付清。</w:t>
      </w:r>
      <w:r>
        <w:rPr>
          <w:rFonts w:hint="eastAsia" w:ascii="宋体" w:hAnsi="宋体" w:cs="宋体"/>
          <w:b/>
          <w:bCs/>
          <w:color w:val="auto"/>
          <w:sz w:val="24"/>
          <w:highlight w:val="none"/>
          <w:lang w:val="en-US" w:eastAsia="zh-CN"/>
        </w:rPr>
        <w:t>（注：质保仅针对平台建设及监控补点建设）。</w:t>
      </w:r>
    </w:p>
    <w:p w14:paraId="0161E61F">
      <w:pPr>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5、</w:t>
      </w:r>
      <w:r>
        <w:rPr>
          <w:rFonts w:hint="eastAsia" w:ascii="宋体" w:hAnsi="宋体" w:eastAsia="宋体" w:cs="宋体"/>
          <w:b/>
          <w:bCs/>
          <w:color w:val="auto"/>
          <w:kern w:val="0"/>
          <w:sz w:val="24"/>
          <w:highlight w:val="none"/>
        </w:rPr>
        <w:t>验收要求</w:t>
      </w:r>
      <w:r>
        <w:rPr>
          <w:rFonts w:hint="eastAsia" w:ascii="宋体" w:hAnsi="宋体" w:eastAsia="宋体" w:cs="宋体"/>
          <w:color w:val="auto"/>
          <w:kern w:val="0"/>
          <w:sz w:val="24"/>
          <w:highlight w:val="none"/>
        </w:rPr>
        <w:t>：服务事项应在满足国家、行业、地方规范标准、规定等条件下，符合委托方实际使用要求。如采购人实际使用要求与国家、行业、地方规范标准等不一致的，采购人有权按照较高标准者执行。</w:t>
      </w:r>
    </w:p>
    <w:p w14:paraId="47207DB2">
      <w:pPr>
        <w:spacing w:line="360" w:lineRule="auto"/>
        <w:ind w:firstLine="482" w:firstLineChars="200"/>
        <w:rPr>
          <w:rFonts w:hint="eastAsia" w:ascii="宋体" w:hAnsi="宋体" w:eastAsia="宋体" w:cs="宋体"/>
          <w:color w:val="auto"/>
          <w:kern w:val="0"/>
          <w:sz w:val="24"/>
          <w:highlight w:val="none"/>
        </w:rPr>
      </w:pPr>
      <w:r>
        <w:rPr>
          <w:rFonts w:hint="eastAsia" w:ascii="宋体" w:hAnsi="宋体" w:cs="宋体"/>
          <w:b/>
          <w:bCs/>
          <w:color w:val="auto"/>
          <w:kern w:val="0"/>
          <w:sz w:val="24"/>
          <w:highlight w:val="none"/>
          <w:lang w:val="en-US" w:eastAsia="zh-CN"/>
        </w:rPr>
        <w:t>6</w:t>
      </w:r>
      <w:r>
        <w:rPr>
          <w:rFonts w:hint="eastAsia" w:ascii="宋体" w:hAnsi="宋体" w:eastAsia="宋体" w:cs="宋体"/>
          <w:b/>
          <w:bCs/>
          <w:color w:val="auto"/>
          <w:kern w:val="0"/>
          <w:sz w:val="24"/>
          <w:highlight w:val="none"/>
        </w:rPr>
        <w:t>、培训要求</w:t>
      </w:r>
      <w:r>
        <w:rPr>
          <w:rFonts w:hint="eastAsia" w:ascii="宋体" w:hAnsi="宋体" w:eastAsia="宋体" w:cs="宋体"/>
          <w:color w:val="auto"/>
          <w:kern w:val="0"/>
          <w:sz w:val="24"/>
          <w:highlight w:val="none"/>
        </w:rPr>
        <w:t>：对业务人员、系统管理人员开展不同功能的使用培训。其中：</w:t>
      </w:r>
    </w:p>
    <w:p w14:paraId="738CF6F9">
      <w:pPr>
        <w:spacing w:line="360" w:lineRule="auto"/>
        <w:ind w:firstLine="720" w:firstLineChars="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（1）业务人员培训：项目中各系统的使用人员。通过培训，能学握其日常工作所用系统各功能模块的使用；</w:t>
      </w:r>
    </w:p>
    <w:p w14:paraId="750FF09A">
      <w:pPr>
        <w:spacing w:line="360" w:lineRule="auto"/>
        <w:ind w:firstLine="720" w:firstLineChars="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（2）系统管理人员培训：项目中各系统的管理人员。通过培训，能学握系统的基本维护和日常管理工作，当系统出现一般性问题时，通过培训的系统管理人员能及时解决问题，不影响系统的使用。</w:t>
      </w:r>
    </w:p>
    <w:p w14:paraId="00F26B4A">
      <w:pPr>
        <w:spacing w:line="360" w:lineRule="auto"/>
        <w:ind w:firstLine="720" w:firstLineChars="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培训方式</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培训方式采用集中培训、现场培训、发放宣传材料等相结合的方式，针对不同层次的人员，开设不同的培训课程和确定培训方式。</w:t>
      </w:r>
    </w:p>
    <w:p w14:paraId="63D9F47A">
      <w:pPr>
        <w:spacing w:line="360" w:lineRule="auto"/>
        <w:ind w:firstLine="720" w:firstLineChars="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培训费用包含在</w:t>
      </w:r>
      <w:r>
        <w:rPr>
          <w:rFonts w:hint="eastAsia" w:ascii="宋体" w:hAnsi="宋体" w:eastAsia="宋体" w:cs="宋体"/>
          <w:color w:val="auto"/>
          <w:kern w:val="0"/>
          <w:sz w:val="24"/>
          <w:highlight w:val="none"/>
          <w:lang w:eastAsia="zh-CN"/>
        </w:rPr>
        <w:t>本次投保报价</w:t>
      </w:r>
      <w:r>
        <w:rPr>
          <w:rFonts w:hint="eastAsia" w:ascii="宋体" w:hAnsi="宋体" w:eastAsia="宋体" w:cs="宋体"/>
          <w:color w:val="auto"/>
          <w:kern w:val="0"/>
          <w:sz w:val="24"/>
          <w:highlight w:val="none"/>
        </w:rPr>
        <w:t>中；</w:t>
      </w:r>
    </w:p>
    <w:p w14:paraId="08DDD322">
      <w:pPr>
        <w:spacing w:line="360" w:lineRule="auto"/>
        <w:ind w:firstLine="720" w:firstLineChars="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供应商在投标文件中</w:t>
      </w:r>
      <w:r>
        <w:rPr>
          <w:rFonts w:hint="eastAsia" w:ascii="宋体" w:hAnsi="宋体" w:eastAsia="宋体" w:cs="宋体"/>
          <w:color w:val="auto"/>
          <w:kern w:val="0"/>
          <w:sz w:val="24"/>
          <w:highlight w:val="none"/>
          <w:lang w:eastAsia="zh-CN"/>
        </w:rPr>
        <w:t>需</w:t>
      </w:r>
      <w:r>
        <w:rPr>
          <w:rFonts w:hint="eastAsia" w:ascii="宋体" w:hAnsi="宋体" w:eastAsia="宋体" w:cs="宋体"/>
          <w:color w:val="auto"/>
          <w:kern w:val="0"/>
          <w:sz w:val="24"/>
          <w:highlight w:val="none"/>
        </w:rPr>
        <w:t>提供详细的培训计划。</w:t>
      </w:r>
    </w:p>
    <w:p w14:paraId="11E985D2">
      <w:pPr>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7、</w:t>
      </w:r>
      <w:r>
        <w:rPr>
          <w:rFonts w:hint="eastAsia" w:ascii="宋体" w:hAnsi="宋体" w:eastAsia="宋体" w:cs="宋体"/>
          <w:b/>
          <w:bCs/>
          <w:color w:val="auto"/>
          <w:kern w:val="0"/>
          <w:sz w:val="24"/>
          <w:highlight w:val="none"/>
        </w:rPr>
        <w:t>保密要求</w:t>
      </w:r>
      <w:r>
        <w:rPr>
          <w:rFonts w:hint="eastAsia" w:ascii="宋体" w:hAnsi="宋体" w:eastAsia="宋体" w:cs="宋体"/>
          <w:color w:val="auto"/>
          <w:kern w:val="0"/>
          <w:sz w:val="24"/>
          <w:highlight w:val="none"/>
          <w:lang w:eastAsia="zh-CN"/>
        </w:rPr>
        <w:t>：由于本项目涉及到大量的公安系统及数据，</w:t>
      </w:r>
      <w:r>
        <w:rPr>
          <w:rFonts w:hint="eastAsia" w:ascii="宋体" w:hAnsi="宋体" w:eastAsia="宋体" w:cs="宋体"/>
          <w:color w:val="auto"/>
          <w:kern w:val="0"/>
          <w:sz w:val="24"/>
          <w:highlight w:val="none"/>
        </w:rPr>
        <w:t>中标供应商</w:t>
      </w:r>
      <w:r>
        <w:rPr>
          <w:rFonts w:hint="eastAsia" w:ascii="宋体" w:hAnsi="宋体" w:eastAsia="宋体" w:cs="宋体"/>
          <w:color w:val="auto"/>
          <w:kern w:val="0"/>
          <w:sz w:val="24"/>
          <w:highlight w:val="none"/>
          <w:lang w:eastAsia="zh-CN"/>
        </w:rPr>
        <w:t>需</w:t>
      </w:r>
      <w:r>
        <w:rPr>
          <w:rFonts w:hint="eastAsia" w:ascii="宋体" w:hAnsi="宋体" w:eastAsia="宋体" w:cs="宋体"/>
          <w:color w:val="auto"/>
          <w:kern w:val="0"/>
          <w:sz w:val="24"/>
          <w:highlight w:val="none"/>
        </w:rPr>
        <w:t>按照《中华人民共和国数据安全法》要求，与采购人签订合同时，同时要与采购人另行签订保密协议，对所涉及的技术方案、系统配置、网络架构、联系方式、线路通讯、审计信息等内容严格保密，加强对技术服务人员的保密管理，确保技术人员工作上做到安全、保密；因供应商原因造成损失的，须全额赔偿，若发生泄密或其他违反国家法律法规规定的行为，中标供应商须承担相应的法律责任。</w:t>
      </w:r>
    </w:p>
    <w:p w14:paraId="7091682B">
      <w:pPr>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lang w:val="en-US" w:eastAsia="zh-CN"/>
        </w:rPr>
        <w:t>8、</w:t>
      </w:r>
      <w:r>
        <w:rPr>
          <w:rFonts w:hint="eastAsia" w:ascii="宋体" w:hAnsi="宋体" w:eastAsia="宋体" w:cs="宋体"/>
          <w:b/>
          <w:bCs/>
          <w:color w:val="auto"/>
          <w:kern w:val="0"/>
          <w:sz w:val="24"/>
          <w:highlight w:val="none"/>
        </w:rPr>
        <w:t>知识产权要求</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供应商声明并保证，供应商向采购人提供的产品及服务等合法有效，且并未直接或间接侵害采购人或第三人任何知识产权。</w:t>
      </w:r>
    </w:p>
    <w:p w14:paraId="788D26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供应商保证采购人有合法使用本合同所有产品的权利，后续不得增收任何费用。</w:t>
      </w:r>
    </w:p>
    <w:p w14:paraId="35FF2D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若供应商交付的软件涉及使用供应商已有知识产权，供应商无偿授权许可采购人及采购人授权用户使用。</w:t>
      </w:r>
    </w:p>
    <w:p w14:paraId="774747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若有任何知识产权争议，供应商承担所有法律责任。供应商同意负责所有关于知识产权争议的协商、和解谈判、抗辩与防卫行为，并赔偿及负担采购人因第三人主张知识产权争议衍生之所受损害及所支付所有费用</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采购人有权暂扣未付款作为保证金，直至供应商付清所有费用</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w:t>
      </w:r>
    </w:p>
    <w:p w14:paraId="23C7A4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双方同意，供应商因履行本合同而产生的所有成果的所有权及知识产权均归属采购人，所有成果包括但不限于：采购人委托供应商开发的软件产品、相应的文档、技术成果、与成果有关的所有材料等。采购人是所有成果的商标权、著作权、专利权、技术秘密及其他相关知识产权的所有人及申请人。如供应商违约申请知识产权，应当无偿转还给采购人且赔偿采购人损失。</w:t>
      </w:r>
    </w:p>
    <w:p w14:paraId="67D98136">
      <w:pPr>
        <w:pStyle w:val="170"/>
        <w:keepNext w:val="0"/>
        <w:keepLines w:val="0"/>
        <w:pageBreakBefore w:val="0"/>
        <w:kinsoku/>
        <w:wordWrap/>
        <w:overflowPunct/>
        <w:topLinePunct w:val="0"/>
        <w:autoSpaceDE/>
        <w:autoSpaceDN/>
        <w:bidi w:val="0"/>
        <w:adjustRightInd/>
        <w:snapToGrid/>
        <w:spacing w:line="360" w:lineRule="auto"/>
        <w:ind w:firstLine="422"/>
        <w:jc w:val="both"/>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szCs w:val="24"/>
          <w:highlight w:val="none"/>
          <w:lang w:val="en-US" w:eastAsia="zh-CN" w:bidi="ar-SA"/>
        </w:rPr>
        <w:t>9、售后服务要求：</w:t>
      </w:r>
      <w:r>
        <w:rPr>
          <w:rFonts w:hint="eastAsia" w:ascii="宋体" w:hAnsi="宋体" w:eastAsia="宋体" w:cs="宋体"/>
          <w:color w:val="auto"/>
          <w:kern w:val="0"/>
          <w:sz w:val="24"/>
          <w:highlight w:val="none"/>
        </w:rPr>
        <w:t>自项目验收合格起，</w:t>
      </w:r>
      <w:r>
        <w:rPr>
          <w:rFonts w:hint="eastAsia" w:ascii="宋体" w:hAnsi="宋体" w:eastAsia="宋体" w:cs="宋体"/>
          <w:color w:val="auto"/>
          <w:kern w:val="0"/>
          <w:sz w:val="24"/>
          <w:highlight w:val="none"/>
          <w:lang w:eastAsia="zh-CN"/>
        </w:rPr>
        <w:t>中标供应商需向采购人</w:t>
      </w:r>
      <w:r>
        <w:rPr>
          <w:rFonts w:hint="eastAsia" w:ascii="宋体" w:hAnsi="宋体" w:eastAsia="宋体" w:cs="宋体"/>
          <w:color w:val="auto"/>
          <w:kern w:val="0"/>
          <w:sz w:val="24"/>
          <w:highlight w:val="none"/>
        </w:rPr>
        <w:t>提供3年的免费质保服务。</w:t>
      </w:r>
      <w:r>
        <w:rPr>
          <w:rFonts w:hint="eastAsia" w:ascii="宋体" w:hAnsi="宋体" w:eastAsia="宋体" w:cs="宋体"/>
          <w:color w:val="auto"/>
          <w:kern w:val="0"/>
          <w:sz w:val="24"/>
          <w:highlight w:val="none"/>
          <w:lang w:eastAsia="zh-CN"/>
        </w:rPr>
        <w:t>在</w:t>
      </w:r>
      <w:r>
        <w:rPr>
          <w:rFonts w:hint="eastAsia" w:ascii="宋体" w:hAnsi="宋体" w:eastAsia="宋体" w:cs="宋体"/>
          <w:color w:val="auto"/>
          <w:kern w:val="0"/>
          <w:sz w:val="24"/>
          <w:highlight w:val="none"/>
        </w:rPr>
        <w:t>质保期内，中标方需负责设备和系统的运行、维护和组织管理，具体包括：</w:t>
      </w:r>
    </w:p>
    <w:p w14:paraId="0372D49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rPr>
        <w:t>负责设备和系统的正常运行与维护工作；</w:t>
      </w:r>
    </w:p>
    <w:p w14:paraId="2499C9C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负责系统软件的更新与维护；</w:t>
      </w:r>
    </w:p>
    <w:p w14:paraId="1CED5F2B">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负责系统数据安全，在系统遭到破坏时，及时进行恢复或启动设备的正常运行。</w:t>
      </w:r>
    </w:p>
    <w:p w14:paraId="564C98B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服务期内的维修费用（包括配件及备品备件）全部由</w:t>
      </w:r>
      <w:r>
        <w:rPr>
          <w:rFonts w:hint="eastAsia" w:ascii="宋体" w:hAnsi="宋体" w:eastAsia="宋体" w:cs="宋体"/>
          <w:color w:val="auto"/>
          <w:kern w:val="0"/>
          <w:sz w:val="24"/>
          <w:szCs w:val="24"/>
          <w:highlight w:val="none"/>
        </w:rPr>
        <w:t>中标单位</w:t>
      </w:r>
      <w:r>
        <w:rPr>
          <w:rFonts w:hint="eastAsia" w:ascii="宋体" w:hAnsi="宋体" w:eastAsia="宋体" w:cs="宋体"/>
          <w:color w:val="auto"/>
          <w:kern w:val="0"/>
          <w:sz w:val="24"/>
          <w:highlight w:val="none"/>
        </w:rPr>
        <w:t>负责；</w:t>
      </w:r>
    </w:p>
    <w:p w14:paraId="60BCCC5F">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项目承建单位提供7*24小时技术支持服务，服务响应时间不得超过4小时，提供多种运维服务模式，如实时技术支持、热线电话服务、现场支持、备品备件服务、定期巡检服务等。</w:t>
      </w:r>
    </w:p>
    <w:p w14:paraId="45F6C3CA">
      <w:pPr>
        <w:jc w:val="both"/>
        <w:outlineLvl w:val="0"/>
        <w:rPr>
          <w:rFonts w:hint="eastAsia" w:ascii="宋体" w:hAnsi="宋体" w:eastAsia="宋体" w:cs="宋体"/>
          <w:b/>
          <w:bCs/>
          <w:color w:val="auto"/>
          <w:sz w:val="32"/>
          <w:szCs w:val="32"/>
          <w:highlight w:val="none"/>
        </w:rPr>
      </w:pPr>
    </w:p>
    <w:p w14:paraId="6F21679F">
      <w:pPr>
        <w:jc w:val="center"/>
        <w:outlineLvl w:val="0"/>
        <w:rPr>
          <w:rFonts w:hint="eastAsia" w:ascii="宋体" w:hAnsi="宋体" w:eastAsia="宋体" w:cs="宋体"/>
          <w:b/>
          <w:bCs/>
          <w:color w:val="auto"/>
          <w:sz w:val="32"/>
          <w:szCs w:val="32"/>
          <w:highlight w:val="none"/>
        </w:rPr>
      </w:pPr>
      <w:bookmarkStart w:id="272" w:name="_Toc23326"/>
    </w:p>
    <w:p w14:paraId="1466873D">
      <w:pPr>
        <w:jc w:val="both"/>
        <w:outlineLvl w:val="0"/>
        <w:rPr>
          <w:rFonts w:hint="eastAsia" w:ascii="宋体" w:hAnsi="宋体" w:eastAsia="宋体" w:cs="宋体"/>
          <w:b/>
          <w:bCs/>
          <w:color w:val="auto"/>
          <w:sz w:val="32"/>
          <w:szCs w:val="32"/>
          <w:highlight w:val="none"/>
        </w:rPr>
      </w:pPr>
    </w:p>
    <w:p w14:paraId="14635122">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第六章 投标文件格式</w:t>
      </w:r>
      <w:bookmarkEnd w:id="269"/>
      <w:bookmarkEnd w:id="270"/>
      <w:bookmarkEnd w:id="272"/>
    </w:p>
    <w:p w14:paraId="3FB669CB">
      <w:pPr>
        <w:rPr>
          <w:rFonts w:hint="eastAsia" w:ascii="宋体" w:hAnsi="宋体" w:eastAsia="宋体" w:cs="宋体"/>
          <w:color w:val="auto"/>
          <w:highlight w:val="none"/>
        </w:rPr>
      </w:pPr>
    </w:p>
    <w:p w14:paraId="39991E05">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（项目名称）</w:t>
      </w:r>
    </w:p>
    <w:p w14:paraId="0D991E04">
      <w:pPr>
        <w:jc w:val="center"/>
        <w:rPr>
          <w:rFonts w:hint="eastAsia" w:ascii="宋体" w:hAnsi="宋体" w:eastAsia="宋体" w:cs="宋体"/>
          <w:b/>
          <w:bCs/>
          <w:color w:val="auto"/>
          <w:sz w:val="32"/>
          <w:szCs w:val="32"/>
          <w:highlight w:val="none"/>
        </w:rPr>
      </w:pPr>
    </w:p>
    <w:p w14:paraId="2AE2B99F">
      <w:pPr>
        <w:jc w:val="center"/>
        <w:rPr>
          <w:rFonts w:hint="eastAsia" w:ascii="宋体" w:hAnsi="宋体" w:eastAsia="宋体" w:cs="宋体"/>
          <w:b/>
          <w:bCs/>
          <w:color w:val="auto"/>
          <w:sz w:val="32"/>
          <w:szCs w:val="32"/>
          <w:highlight w:val="none"/>
        </w:rPr>
      </w:pPr>
    </w:p>
    <w:p w14:paraId="762BCD03">
      <w:pPr>
        <w:jc w:val="center"/>
        <w:rPr>
          <w:rFonts w:hint="eastAsia" w:ascii="宋体" w:hAnsi="宋体" w:eastAsia="宋体" w:cs="宋体"/>
          <w:color w:val="auto"/>
          <w:sz w:val="52"/>
          <w:szCs w:val="52"/>
          <w:highlight w:val="none"/>
        </w:rPr>
      </w:pPr>
      <w:r>
        <w:rPr>
          <w:rFonts w:hint="eastAsia" w:ascii="宋体" w:hAnsi="宋体" w:eastAsia="宋体" w:cs="宋体"/>
          <w:b/>
          <w:bCs/>
          <w:color w:val="auto"/>
          <w:sz w:val="52"/>
          <w:szCs w:val="52"/>
          <w:highlight w:val="none"/>
        </w:rPr>
        <w:t>投标文件</w:t>
      </w:r>
    </w:p>
    <w:p w14:paraId="10CF9651">
      <w:pPr>
        <w:jc w:val="center"/>
        <w:rPr>
          <w:rFonts w:hint="eastAsia" w:ascii="宋体" w:hAnsi="宋体" w:eastAsia="宋体" w:cs="宋体"/>
          <w:color w:val="auto"/>
          <w:highlight w:val="none"/>
        </w:rPr>
      </w:pPr>
    </w:p>
    <w:p w14:paraId="5D171EF1">
      <w:pPr>
        <w:jc w:val="center"/>
        <w:rPr>
          <w:rFonts w:hint="eastAsia" w:ascii="宋体" w:hAnsi="宋体" w:eastAsia="宋体" w:cs="宋体"/>
          <w:color w:val="auto"/>
          <w:highlight w:val="none"/>
        </w:rPr>
      </w:pPr>
    </w:p>
    <w:p w14:paraId="4880B608">
      <w:pPr>
        <w:jc w:val="center"/>
        <w:rPr>
          <w:rFonts w:hint="eastAsia" w:ascii="宋体" w:hAnsi="宋体" w:eastAsia="宋体" w:cs="宋体"/>
          <w:color w:val="auto"/>
          <w:highlight w:val="none"/>
        </w:rPr>
      </w:pPr>
    </w:p>
    <w:p w14:paraId="35B89CE2">
      <w:pPr>
        <w:ind w:firstLine="3120" w:firstLineChars="13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项目</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u w:val="single"/>
        </w:rPr>
        <w:t xml:space="preserve">               </w:t>
      </w:r>
    </w:p>
    <w:p w14:paraId="4AF08C47">
      <w:pPr>
        <w:jc w:val="center"/>
        <w:rPr>
          <w:rFonts w:hint="eastAsia" w:ascii="宋体" w:hAnsi="宋体" w:eastAsia="宋体" w:cs="宋体"/>
          <w:color w:val="auto"/>
          <w:highlight w:val="none"/>
        </w:rPr>
      </w:pPr>
    </w:p>
    <w:p w14:paraId="41902F61">
      <w:pPr>
        <w:jc w:val="center"/>
        <w:rPr>
          <w:rFonts w:hint="eastAsia" w:ascii="宋体" w:hAnsi="宋体" w:eastAsia="宋体" w:cs="宋体"/>
          <w:color w:val="auto"/>
          <w:highlight w:val="none"/>
        </w:rPr>
      </w:pPr>
    </w:p>
    <w:p w14:paraId="5189BF4B">
      <w:pPr>
        <w:jc w:val="center"/>
        <w:rPr>
          <w:rFonts w:hint="eastAsia" w:ascii="宋体" w:hAnsi="宋体" w:eastAsia="宋体" w:cs="宋体"/>
          <w:color w:val="auto"/>
          <w:highlight w:val="none"/>
        </w:rPr>
      </w:pPr>
    </w:p>
    <w:p w14:paraId="7028A507">
      <w:pPr>
        <w:jc w:val="center"/>
        <w:rPr>
          <w:rFonts w:hint="eastAsia" w:ascii="宋体" w:hAnsi="宋体" w:eastAsia="宋体" w:cs="宋体"/>
          <w:color w:val="auto"/>
          <w:highlight w:val="none"/>
        </w:rPr>
      </w:pPr>
    </w:p>
    <w:p w14:paraId="6D7A44AD">
      <w:pPr>
        <w:jc w:val="center"/>
        <w:rPr>
          <w:rFonts w:hint="eastAsia" w:ascii="宋体" w:hAnsi="宋体" w:eastAsia="宋体" w:cs="宋体"/>
          <w:color w:val="auto"/>
          <w:highlight w:val="none"/>
        </w:rPr>
      </w:pPr>
    </w:p>
    <w:p w14:paraId="2C9AA629">
      <w:pPr>
        <w:jc w:val="center"/>
        <w:rPr>
          <w:rFonts w:hint="eastAsia" w:ascii="宋体" w:hAnsi="宋体" w:eastAsia="宋体" w:cs="宋体"/>
          <w:color w:val="auto"/>
          <w:highlight w:val="none"/>
        </w:rPr>
      </w:pPr>
    </w:p>
    <w:p w14:paraId="192FF6AD">
      <w:pPr>
        <w:jc w:val="center"/>
        <w:rPr>
          <w:rFonts w:hint="eastAsia" w:ascii="宋体" w:hAnsi="宋体" w:eastAsia="宋体" w:cs="宋体"/>
          <w:color w:val="auto"/>
          <w:highlight w:val="none"/>
        </w:rPr>
      </w:pPr>
    </w:p>
    <w:p w14:paraId="0FB825FA">
      <w:pPr>
        <w:jc w:val="center"/>
        <w:rPr>
          <w:rFonts w:hint="eastAsia" w:ascii="宋体" w:hAnsi="宋体" w:eastAsia="宋体" w:cs="宋体"/>
          <w:color w:val="auto"/>
          <w:highlight w:val="none"/>
        </w:rPr>
      </w:pPr>
    </w:p>
    <w:p w14:paraId="7B8D4498">
      <w:pPr>
        <w:jc w:val="center"/>
        <w:rPr>
          <w:rFonts w:hint="eastAsia" w:ascii="宋体" w:hAnsi="宋体" w:eastAsia="宋体" w:cs="宋体"/>
          <w:color w:val="auto"/>
          <w:highlight w:val="none"/>
        </w:rPr>
      </w:pPr>
    </w:p>
    <w:p w14:paraId="480D9191">
      <w:pPr>
        <w:jc w:val="center"/>
        <w:rPr>
          <w:rFonts w:hint="eastAsia" w:ascii="宋体" w:hAnsi="宋体" w:eastAsia="宋体" w:cs="宋体"/>
          <w:color w:val="auto"/>
          <w:highlight w:val="none"/>
        </w:rPr>
      </w:pPr>
    </w:p>
    <w:p w14:paraId="43321FB3">
      <w:pPr>
        <w:jc w:val="both"/>
        <w:rPr>
          <w:rFonts w:hint="eastAsia" w:ascii="宋体" w:hAnsi="宋体" w:eastAsia="宋体" w:cs="宋体"/>
          <w:color w:val="auto"/>
          <w:highlight w:val="none"/>
        </w:rPr>
      </w:pPr>
    </w:p>
    <w:p w14:paraId="34B8B7E7">
      <w:pPr>
        <w:spacing w:line="360" w:lineRule="auto"/>
        <w:jc w:val="both"/>
        <w:rPr>
          <w:rFonts w:hint="eastAsia" w:ascii="宋体" w:hAnsi="宋体" w:eastAsia="宋体" w:cs="宋体"/>
          <w:color w:val="auto"/>
          <w:sz w:val="28"/>
          <w:szCs w:val="28"/>
          <w:highlight w:val="none"/>
        </w:rPr>
      </w:pPr>
    </w:p>
    <w:p w14:paraId="2AF77C14">
      <w:pPr>
        <w:spacing w:line="360" w:lineRule="auto"/>
        <w:jc w:val="center"/>
        <w:rPr>
          <w:rFonts w:hint="eastAsia" w:ascii="宋体" w:hAnsi="宋体" w:eastAsia="宋体" w:cs="宋体"/>
          <w:color w:val="auto"/>
          <w:sz w:val="28"/>
          <w:szCs w:val="28"/>
          <w:highlight w:val="none"/>
        </w:rPr>
      </w:pPr>
    </w:p>
    <w:p w14:paraId="7AF287FF">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w:t>
      </w:r>
      <w:r>
        <w:rPr>
          <w:rFonts w:hint="eastAsia" w:ascii="宋体" w:hAnsi="宋体" w:cs="宋体"/>
          <w:color w:val="auto"/>
          <w:sz w:val="28"/>
          <w:szCs w:val="28"/>
          <w:highlight w:val="none"/>
          <w:lang w:eastAsia="zh-CN"/>
        </w:rPr>
        <w:t>公</w:t>
      </w:r>
      <w:r>
        <w:rPr>
          <w:rFonts w:hint="eastAsia" w:ascii="宋体" w:hAnsi="宋体" w:eastAsia="宋体" w:cs="宋体"/>
          <w:color w:val="auto"/>
          <w:sz w:val="28"/>
          <w:szCs w:val="28"/>
          <w:highlight w:val="none"/>
        </w:rPr>
        <w:t>章）</w:t>
      </w:r>
    </w:p>
    <w:p w14:paraId="206B5086">
      <w:pPr>
        <w:spacing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bookmarkStart w:id="273" w:name="_Toc18302"/>
      <w:r>
        <w:rPr>
          <w:rFonts w:hint="eastAsia" w:ascii="宋体" w:hAnsi="宋体" w:eastAsia="宋体" w:cs="宋体"/>
          <w:color w:val="auto"/>
          <w:sz w:val="28"/>
          <w:szCs w:val="28"/>
          <w:highlight w:val="none"/>
        </w:rPr>
        <w:t>法定代表人或其委托代理人：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（签章）</w:t>
      </w:r>
      <w:bookmarkEnd w:id="273"/>
    </w:p>
    <w:p w14:paraId="696992BA">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月     日</w:t>
      </w:r>
    </w:p>
    <w:p w14:paraId="2B73978B">
      <w:pPr>
        <w:pStyle w:val="4"/>
        <w:jc w:val="both"/>
        <w:outlineLvl w:val="9"/>
        <w:rPr>
          <w:rFonts w:hint="eastAsia" w:ascii="宋体" w:hAnsi="宋体" w:eastAsia="宋体" w:cs="宋体"/>
          <w:color w:val="auto"/>
          <w:highlight w:val="none"/>
        </w:rPr>
      </w:pPr>
      <w:bookmarkStart w:id="274" w:name="_Toc505093192"/>
      <w:bookmarkStart w:id="275" w:name="_Toc10624"/>
      <w:bookmarkStart w:id="276" w:name="_Toc15933"/>
      <w:bookmarkStart w:id="277" w:name="_Toc8551"/>
      <w:bookmarkStart w:id="278" w:name="_Toc17574"/>
    </w:p>
    <w:bookmarkEnd w:id="274"/>
    <w:bookmarkEnd w:id="275"/>
    <w:bookmarkEnd w:id="276"/>
    <w:bookmarkEnd w:id="277"/>
    <w:bookmarkEnd w:id="278"/>
    <w:p w14:paraId="6144381A">
      <w:pPr>
        <w:rPr>
          <w:rFonts w:hint="eastAsia" w:ascii="宋体" w:hAnsi="宋体" w:eastAsia="宋体" w:cs="宋体"/>
          <w:color w:val="auto"/>
          <w:sz w:val="24"/>
          <w:highlight w:val="none"/>
        </w:rPr>
      </w:pPr>
    </w:p>
    <w:p w14:paraId="35F3F2EB">
      <w:pPr>
        <w:rPr>
          <w:rFonts w:hint="eastAsia" w:ascii="宋体" w:hAnsi="宋体" w:eastAsia="宋体" w:cs="宋体"/>
          <w:color w:val="auto"/>
          <w:sz w:val="28"/>
          <w:szCs w:val="36"/>
          <w:highlight w:val="none"/>
        </w:rPr>
      </w:pPr>
    </w:p>
    <w:p w14:paraId="7B74DB6F">
      <w:pPr>
        <w:pStyle w:val="4"/>
        <w:jc w:val="center"/>
        <w:rPr>
          <w:rFonts w:hint="eastAsia" w:ascii="宋体" w:hAnsi="宋体" w:eastAsia="宋体" w:cs="宋体"/>
          <w:color w:val="auto"/>
          <w:highlight w:val="none"/>
        </w:rPr>
      </w:pPr>
      <w:r>
        <w:rPr>
          <w:rFonts w:hint="eastAsia" w:ascii="宋体" w:hAnsi="宋体" w:eastAsia="宋体" w:cs="宋体"/>
          <w:color w:val="auto"/>
          <w:highlight w:val="none"/>
        </w:rPr>
        <w:t>目  录</w:t>
      </w:r>
    </w:p>
    <w:p w14:paraId="08F8C6E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一、投标函及投标函附录</w:t>
      </w:r>
    </w:p>
    <w:p w14:paraId="4E2A195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二、法定代表人身份证明</w:t>
      </w:r>
    </w:p>
    <w:p w14:paraId="2E9B1AD2">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三、授权委托书</w:t>
      </w:r>
    </w:p>
    <w:p w14:paraId="0ACEC47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lang w:val="en-US" w:eastAsia="zh-CN"/>
        </w:rPr>
        <w:t>四</w:t>
      </w:r>
      <w:r>
        <w:rPr>
          <w:rFonts w:hint="eastAsia" w:ascii="宋体" w:hAnsi="宋体" w:eastAsia="宋体" w:cs="宋体"/>
          <w:color w:val="auto"/>
          <w:sz w:val="28"/>
          <w:szCs w:val="36"/>
          <w:highlight w:val="none"/>
        </w:rPr>
        <w:t>、资格审查资料</w:t>
      </w:r>
    </w:p>
    <w:p w14:paraId="70C03CC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五、项目管理机构</w:t>
      </w:r>
    </w:p>
    <w:p w14:paraId="740AA571">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六、企业业绩</w:t>
      </w:r>
    </w:p>
    <w:p w14:paraId="0E581F6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七、项目实施方案</w:t>
      </w:r>
    </w:p>
    <w:p w14:paraId="75268DD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八、质量保障及安全维护措施</w:t>
      </w:r>
    </w:p>
    <w:p w14:paraId="2D5AFF4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九、应急处理方案</w:t>
      </w:r>
    </w:p>
    <w:p w14:paraId="2D7D658C">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十、网络安全方案</w:t>
      </w:r>
    </w:p>
    <w:p w14:paraId="14287160">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十一、培训指导方案</w:t>
      </w:r>
    </w:p>
    <w:p w14:paraId="36C132D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十二、企业实力</w:t>
      </w:r>
    </w:p>
    <w:p w14:paraId="017023F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十三、售后服务承诺</w:t>
      </w:r>
    </w:p>
    <w:p w14:paraId="52BCC4B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十四、中小企业声明函</w:t>
      </w:r>
    </w:p>
    <w:p w14:paraId="38C0126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十五、残疾人福利性单位声明函</w:t>
      </w:r>
    </w:p>
    <w:p w14:paraId="4E0680F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十六、监狱企业证明文件</w:t>
      </w:r>
    </w:p>
    <w:p w14:paraId="4A1F312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sz w:val="28"/>
          <w:szCs w:val="36"/>
          <w:highlight w:val="none"/>
          <w:lang w:val="en-US" w:eastAsia="zh-CN"/>
        </w:rPr>
      </w:pPr>
      <w:r>
        <w:rPr>
          <w:rFonts w:hint="eastAsia" w:ascii="宋体" w:hAnsi="宋体" w:eastAsia="宋体" w:cs="宋体"/>
          <w:color w:val="auto"/>
          <w:sz w:val="28"/>
          <w:szCs w:val="36"/>
          <w:highlight w:val="none"/>
          <w:lang w:val="en-US" w:eastAsia="zh-CN"/>
        </w:rPr>
        <w:t>十七、投标人认为可提交的其他资料</w:t>
      </w:r>
    </w:p>
    <w:p w14:paraId="397821E5">
      <w:pPr>
        <w:spacing w:line="360" w:lineRule="auto"/>
        <w:rPr>
          <w:rFonts w:hint="eastAsia" w:ascii="宋体" w:hAnsi="宋体" w:eastAsia="宋体" w:cs="宋体"/>
          <w:color w:val="auto"/>
          <w:sz w:val="24"/>
          <w:highlight w:val="none"/>
          <w:u w:val="single"/>
          <w:lang w:val="en-US" w:eastAsia="zh-CN"/>
        </w:rPr>
      </w:pPr>
    </w:p>
    <w:p w14:paraId="6BF41368">
      <w:pPr>
        <w:spacing w:line="360" w:lineRule="auto"/>
        <w:rPr>
          <w:rFonts w:hint="eastAsia" w:ascii="宋体" w:hAnsi="宋体" w:cs="宋体"/>
          <w:b/>
          <w:bCs/>
          <w:color w:val="auto"/>
          <w:sz w:val="22"/>
          <w:szCs w:val="28"/>
          <w:highlight w:val="none"/>
          <w:lang w:val="en-US" w:eastAsia="zh-CN"/>
        </w:rPr>
      </w:pPr>
      <w:r>
        <w:rPr>
          <w:rFonts w:hint="eastAsia" w:ascii="宋体" w:hAnsi="宋体" w:cs="宋体"/>
          <w:b/>
          <w:bCs/>
          <w:color w:val="auto"/>
          <w:sz w:val="22"/>
          <w:szCs w:val="28"/>
          <w:highlight w:val="none"/>
          <w:lang w:val="en-US" w:eastAsia="zh-CN"/>
        </w:rPr>
        <w:t>备注：</w:t>
      </w:r>
    </w:p>
    <w:p w14:paraId="32146893">
      <w:pPr>
        <w:spacing w:line="360" w:lineRule="auto"/>
        <w:ind w:firstLine="442" w:firstLineChars="200"/>
        <w:rPr>
          <w:rFonts w:hint="eastAsia" w:ascii="宋体" w:hAnsi="宋体" w:cs="宋体"/>
          <w:b/>
          <w:bCs/>
          <w:color w:val="auto"/>
          <w:sz w:val="22"/>
          <w:szCs w:val="28"/>
          <w:highlight w:val="none"/>
          <w:lang w:val="en-US" w:eastAsia="zh-CN"/>
        </w:rPr>
      </w:pPr>
      <w:r>
        <w:rPr>
          <w:rFonts w:hint="eastAsia" w:hAnsi="宋体" w:cs="宋体"/>
          <w:b/>
          <w:bCs/>
          <w:color w:val="auto"/>
          <w:sz w:val="22"/>
          <w:szCs w:val="28"/>
          <w:highlight w:val="none"/>
          <w:lang w:val="en-US" w:eastAsia="zh-CN"/>
        </w:rPr>
        <w:t>1.此格式包含但不限于以上内容，投标人可根据自身情况增加有利于投标的得其他材料</w:t>
      </w:r>
      <w:r>
        <w:rPr>
          <w:rFonts w:hint="eastAsia" w:ascii="宋体" w:hAnsi="宋体" w:cs="宋体"/>
          <w:b/>
          <w:bCs/>
          <w:color w:val="auto"/>
          <w:sz w:val="22"/>
          <w:szCs w:val="28"/>
          <w:highlight w:val="none"/>
          <w:lang w:val="en-US" w:eastAsia="zh-CN"/>
        </w:rPr>
        <w:t>。</w:t>
      </w:r>
    </w:p>
    <w:p w14:paraId="69194E01">
      <w:pPr>
        <w:spacing w:line="360" w:lineRule="auto"/>
        <w:ind w:firstLine="442" w:firstLineChars="200"/>
        <w:rPr>
          <w:rFonts w:hint="eastAsia" w:ascii="宋体" w:hAnsi="宋体" w:eastAsia="宋体" w:cs="宋体"/>
          <w:color w:val="auto"/>
          <w:sz w:val="24"/>
          <w:highlight w:val="none"/>
          <w:u w:val="single"/>
        </w:rPr>
      </w:pPr>
      <w:r>
        <w:rPr>
          <w:rFonts w:hint="eastAsia" w:ascii="宋体" w:hAnsi="宋体" w:cs="宋体"/>
          <w:b/>
          <w:bCs/>
          <w:color w:val="auto"/>
          <w:sz w:val="22"/>
          <w:szCs w:val="28"/>
          <w:highlight w:val="none"/>
          <w:lang w:val="en-US" w:eastAsia="zh-CN"/>
        </w:rPr>
        <w:t>2.如是分公司企业参与投标的，则“法定代表人”即为分支机构负责人，法人签字盖章以负责人替代。此备注编辑文件时可删除。</w:t>
      </w:r>
    </w:p>
    <w:p w14:paraId="24E0AAB5">
      <w:pPr>
        <w:pStyle w:val="4"/>
        <w:spacing w:before="0" w:after="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32"/>
          <w:szCs w:val="28"/>
          <w:highlight w:val="none"/>
        </w:rPr>
        <w:t>一、投标函及投标函附录</w:t>
      </w:r>
    </w:p>
    <w:p w14:paraId="69380710">
      <w:pPr>
        <w:pStyle w:val="98"/>
        <w:ind w:firstLine="120"/>
        <w:jc w:val="center"/>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rPr>
        <w:t>（一）投标函</w:t>
      </w:r>
    </w:p>
    <w:p w14:paraId="39A329D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p>
    <w:p w14:paraId="3B8479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1．我方已仔细研究了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（项目名称）招标文件的全部内容，愿意以项目总投资的（大写）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none"/>
          <w:lang w:val="en-US" w:eastAsia="zh-CN"/>
        </w:rPr>
        <w:t>元</w:t>
      </w:r>
      <w:r>
        <w:rPr>
          <w:rFonts w:hint="eastAsia" w:ascii="宋体" w:hAnsi="宋体" w:eastAsia="宋体" w:cs="宋体"/>
          <w:color w:val="auto"/>
          <w:sz w:val="24"/>
          <w:highlight w:val="none"/>
        </w:rPr>
        <w:t>的投标报价，</w:t>
      </w:r>
      <w:r>
        <w:rPr>
          <w:rFonts w:hint="eastAsia" w:ascii="宋体" w:hAnsi="宋体" w:cs="宋体"/>
          <w:color w:val="auto"/>
          <w:sz w:val="24"/>
          <w:highlight w:val="none"/>
          <w:lang w:val="en-US" w:eastAsia="zh-CN"/>
        </w:rPr>
        <w:t>服务期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服务标准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none"/>
          <w:lang w:eastAsia="zh-CN"/>
        </w:rPr>
        <w:t>，</w:t>
      </w:r>
      <w:r>
        <w:rPr>
          <w:rFonts w:hint="eastAsia" w:ascii="宋体" w:hAnsi="宋体" w:eastAsia="宋体" w:cs="宋体"/>
          <w:color w:val="auto"/>
          <w:sz w:val="24"/>
          <w:highlight w:val="none"/>
        </w:rPr>
        <w:t>按合同约定完成</w:t>
      </w:r>
      <w:r>
        <w:rPr>
          <w:rFonts w:hint="eastAsia" w:ascii="宋体" w:hAnsi="宋体" w:cs="宋体"/>
          <w:color w:val="auto"/>
          <w:sz w:val="24"/>
          <w:highlight w:val="none"/>
          <w:lang w:val="en-US" w:eastAsia="zh-CN"/>
        </w:rPr>
        <w:t>项目</w:t>
      </w:r>
      <w:r>
        <w:rPr>
          <w:rFonts w:hint="eastAsia" w:ascii="宋体" w:hAnsi="宋体" w:eastAsia="宋体" w:cs="宋体"/>
          <w:color w:val="auto"/>
          <w:sz w:val="24"/>
          <w:highlight w:val="none"/>
        </w:rPr>
        <w:t>。</w:t>
      </w:r>
    </w:p>
    <w:p w14:paraId="279DF3B0">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．我方承诺在招标文件规定的投标有效期内不撤销投标文件。</w:t>
      </w:r>
    </w:p>
    <w:p w14:paraId="5CA3D425">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．如我方中标，我方承诺：</w:t>
      </w:r>
    </w:p>
    <w:p w14:paraId="6591B56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（1）在收到中标通知书后，在中标通知书规定的期限内与你方签订合同；</w:t>
      </w:r>
    </w:p>
    <w:p w14:paraId="5B5D404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（2）在签订合同时不向你方提出附加条件；</w:t>
      </w:r>
    </w:p>
    <w:p w14:paraId="5DC5AA9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）在合同约定的期限内完成合同规定的全部义务。</w:t>
      </w:r>
    </w:p>
    <w:p w14:paraId="7F084183">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．我方在此声明，所递交的投标文件及有关资料内容完整、真实和准确，且不存在第二章“投标人须知”第1.4.3项规定的任何一种情形。</w:t>
      </w:r>
    </w:p>
    <w:p w14:paraId="3E86D8BE">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（其他补充说明）。</w:t>
      </w:r>
    </w:p>
    <w:p w14:paraId="72CE2898">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p>
    <w:p w14:paraId="69D3238B">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（签章）</w:t>
      </w:r>
    </w:p>
    <w:p w14:paraId="683A334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21F0AD4E">
      <w:pPr>
        <w:spacing w:line="360" w:lineRule="auto"/>
        <w:jc w:val="center"/>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 xml:space="preserve">  联系人： </w:t>
      </w:r>
      <w:r>
        <w:rPr>
          <w:rFonts w:hint="eastAsia" w:ascii="宋体" w:hAnsi="宋体" w:eastAsia="宋体" w:cs="宋体"/>
          <w:color w:val="auto"/>
          <w:sz w:val="24"/>
          <w:highlight w:val="none"/>
          <w:u w:val="single"/>
          <w:lang w:val="en-US" w:eastAsia="zh-CN"/>
        </w:rPr>
        <w:t xml:space="preserve">                         </w:t>
      </w:r>
    </w:p>
    <w:p w14:paraId="7B8FE7C0">
      <w:pPr>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p>
    <w:p w14:paraId="5CB70FA8">
      <w:pPr>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lang w:val="en-US" w:eastAsia="zh-CN"/>
        </w:rPr>
        <w:t xml:space="preserve">日期：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08C9A8C5">
      <w:pPr>
        <w:pStyle w:val="98"/>
        <w:ind w:firstLine="0" w:firstLineChars="0"/>
        <w:jc w:val="both"/>
        <w:rPr>
          <w:rFonts w:hint="eastAsia" w:ascii="宋体" w:hAnsi="宋体" w:eastAsia="宋体" w:cs="宋体"/>
          <w:color w:val="auto"/>
          <w:sz w:val="24"/>
          <w:szCs w:val="24"/>
          <w:highlight w:val="none"/>
        </w:rPr>
      </w:pPr>
    </w:p>
    <w:p w14:paraId="2E658C59">
      <w:pPr>
        <w:pStyle w:val="98"/>
        <w:ind w:firstLine="0" w:firstLineChars="0"/>
        <w:jc w:val="both"/>
        <w:rPr>
          <w:rFonts w:hint="eastAsia" w:ascii="宋体" w:hAnsi="宋体" w:eastAsia="宋体" w:cs="宋体"/>
          <w:b/>
          <w:bCs/>
          <w:color w:val="auto"/>
          <w:sz w:val="24"/>
          <w:szCs w:val="24"/>
          <w:highlight w:val="none"/>
        </w:rPr>
      </w:pPr>
    </w:p>
    <w:p w14:paraId="2F2E7690">
      <w:pPr>
        <w:pStyle w:val="98"/>
        <w:ind w:firstLine="0" w:firstLineChars="0"/>
        <w:jc w:val="center"/>
        <w:rPr>
          <w:rFonts w:hint="eastAsia" w:ascii="宋体" w:hAnsi="宋体" w:eastAsia="宋体" w:cs="宋体"/>
          <w:b/>
          <w:bCs/>
          <w:color w:val="auto"/>
          <w:sz w:val="24"/>
          <w:szCs w:val="24"/>
          <w:highlight w:val="none"/>
        </w:rPr>
      </w:pPr>
    </w:p>
    <w:p w14:paraId="37C44164">
      <w:pPr>
        <w:pStyle w:val="98"/>
        <w:ind w:firstLine="0" w:firstLineChars="0"/>
        <w:jc w:val="center"/>
        <w:rPr>
          <w:rFonts w:hint="eastAsia" w:ascii="宋体" w:hAnsi="宋体" w:eastAsia="宋体" w:cs="宋体"/>
          <w:b/>
          <w:bCs/>
          <w:color w:val="auto"/>
          <w:sz w:val="24"/>
          <w:szCs w:val="24"/>
          <w:highlight w:val="none"/>
        </w:rPr>
      </w:pPr>
    </w:p>
    <w:p w14:paraId="7BE65D67">
      <w:pPr>
        <w:pStyle w:val="98"/>
        <w:ind w:firstLine="0" w:firstLineChars="0"/>
        <w:jc w:val="center"/>
        <w:rPr>
          <w:rFonts w:hint="eastAsia" w:ascii="宋体" w:hAnsi="宋体" w:eastAsia="宋体" w:cs="宋体"/>
          <w:b/>
          <w:bCs/>
          <w:color w:val="auto"/>
          <w:sz w:val="24"/>
          <w:szCs w:val="24"/>
          <w:highlight w:val="none"/>
        </w:rPr>
      </w:pPr>
    </w:p>
    <w:p w14:paraId="20400936">
      <w:pPr>
        <w:pStyle w:val="98"/>
        <w:ind w:firstLine="0" w:firstLineChars="0"/>
        <w:jc w:val="center"/>
        <w:rPr>
          <w:rFonts w:hint="eastAsia" w:ascii="宋体" w:hAnsi="宋体" w:eastAsia="宋体" w:cs="宋体"/>
          <w:b/>
          <w:bCs/>
          <w:color w:val="auto"/>
          <w:sz w:val="24"/>
          <w:szCs w:val="24"/>
          <w:highlight w:val="none"/>
        </w:rPr>
      </w:pPr>
    </w:p>
    <w:p w14:paraId="37D47D07">
      <w:pPr>
        <w:pStyle w:val="98"/>
        <w:ind w:firstLine="0" w:firstLineChars="0"/>
        <w:jc w:val="center"/>
        <w:rPr>
          <w:rFonts w:hint="eastAsia" w:ascii="宋体" w:hAnsi="宋体" w:eastAsia="宋体" w:cs="宋体"/>
          <w:b/>
          <w:bCs/>
          <w:color w:val="auto"/>
          <w:sz w:val="24"/>
          <w:szCs w:val="24"/>
          <w:highlight w:val="none"/>
        </w:rPr>
      </w:pPr>
    </w:p>
    <w:p w14:paraId="2B011475">
      <w:pPr>
        <w:pStyle w:val="98"/>
        <w:ind w:firstLine="0" w:firstLineChars="0"/>
        <w:jc w:val="center"/>
        <w:rPr>
          <w:rFonts w:hint="eastAsia" w:ascii="宋体" w:hAnsi="宋体" w:eastAsia="宋体" w:cs="宋体"/>
          <w:b/>
          <w:bCs/>
          <w:color w:val="auto"/>
          <w:sz w:val="24"/>
          <w:szCs w:val="24"/>
          <w:highlight w:val="none"/>
        </w:rPr>
      </w:pPr>
    </w:p>
    <w:p w14:paraId="3938EE6D">
      <w:pPr>
        <w:pStyle w:val="98"/>
        <w:ind w:firstLine="0" w:firstLineChars="0"/>
        <w:jc w:val="center"/>
        <w:rPr>
          <w:rFonts w:hint="eastAsia" w:ascii="宋体" w:hAnsi="宋体" w:eastAsia="宋体" w:cs="宋体"/>
          <w:b/>
          <w:bCs/>
          <w:color w:val="auto"/>
          <w:sz w:val="24"/>
          <w:szCs w:val="24"/>
          <w:highlight w:val="none"/>
        </w:rPr>
      </w:pPr>
    </w:p>
    <w:p w14:paraId="219E8687">
      <w:pPr>
        <w:pStyle w:val="98"/>
        <w:ind w:firstLine="0" w:firstLineChars="0"/>
        <w:jc w:val="center"/>
        <w:rPr>
          <w:rFonts w:hint="eastAsia" w:ascii="宋体" w:hAnsi="宋体" w:eastAsia="宋体" w:cs="宋体"/>
          <w:b/>
          <w:bCs/>
          <w:color w:val="auto"/>
          <w:sz w:val="24"/>
          <w:szCs w:val="24"/>
          <w:highlight w:val="none"/>
        </w:rPr>
      </w:pPr>
    </w:p>
    <w:p w14:paraId="5BE594AE">
      <w:pPr>
        <w:pStyle w:val="98"/>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（二）投标函附录</w:t>
      </w:r>
    </w:p>
    <w:tbl>
      <w:tblPr>
        <w:tblStyle w:val="43"/>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6"/>
        <w:gridCol w:w="5836"/>
      </w:tblGrid>
      <w:tr w14:paraId="13EF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906" w:type="dxa"/>
            <w:vAlign w:val="center"/>
          </w:tcPr>
          <w:p w14:paraId="466CA90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5836" w:type="dxa"/>
            <w:vAlign w:val="center"/>
          </w:tcPr>
          <w:p w14:paraId="574407EF">
            <w:pPr>
              <w:spacing w:line="360" w:lineRule="auto"/>
              <w:outlineLvl w:val="9"/>
              <w:rPr>
                <w:rFonts w:hint="eastAsia" w:ascii="宋体" w:hAnsi="宋体" w:eastAsia="宋体" w:cs="宋体"/>
                <w:bCs/>
                <w:color w:val="auto"/>
                <w:sz w:val="24"/>
                <w:highlight w:val="none"/>
              </w:rPr>
            </w:pPr>
          </w:p>
        </w:tc>
      </w:tr>
      <w:tr w14:paraId="7820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906" w:type="dxa"/>
            <w:vAlign w:val="center"/>
          </w:tcPr>
          <w:p w14:paraId="16426EF9">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投标人</w:t>
            </w:r>
          </w:p>
        </w:tc>
        <w:tc>
          <w:tcPr>
            <w:tcW w:w="5836" w:type="dxa"/>
            <w:vAlign w:val="center"/>
          </w:tcPr>
          <w:p w14:paraId="43B694FD">
            <w:pPr>
              <w:spacing w:line="360" w:lineRule="auto"/>
              <w:rPr>
                <w:rFonts w:hint="eastAsia" w:ascii="宋体" w:hAnsi="宋体" w:eastAsia="宋体" w:cs="宋体"/>
                <w:color w:val="auto"/>
                <w:sz w:val="24"/>
                <w:highlight w:val="none"/>
              </w:rPr>
            </w:pPr>
          </w:p>
        </w:tc>
      </w:tr>
      <w:tr w14:paraId="3255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0" w:hRule="atLeast"/>
          <w:jc w:val="center"/>
        </w:trPr>
        <w:tc>
          <w:tcPr>
            <w:tcW w:w="2906" w:type="dxa"/>
            <w:vAlign w:val="center"/>
          </w:tcPr>
          <w:p w14:paraId="7A85BB0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tc>
        <w:tc>
          <w:tcPr>
            <w:tcW w:w="5836" w:type="dxa"/>
            <w:vAlign w:val="center"/>
          </w:tcPr>
          <w:p w14:paraId="73C4383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p>
          <w:p w14:paraId="6C66FA8F">
            <w:pPr>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lang w:val="en-US" w:eastAsia="zh-CN"/>
              </w:rPr>
              <w:t>元</w:t>
            </w:r>
          </w:p>
        </w:tc>
      </w:tr>
      <w:tr w14:paraId="0665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906" w:type="dxa"/>
            <w:vAlign w:val="center"/>
          </w:tcPr>
          <w:p w14:paraId="3616E4B5">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投标内容</w:t>
            </w:r>
          </w:p>
        </w:tc>
        <w:tc>
          <w:tcPr>
            <w:tcW w:w="5836" w:type="dxa"/>
            <w:vAlign w:val="center"/>
          </w:tcPr>
          <w:p w14:paraId="180356F2">
            <w:pPr>
              <w:spacing w:line="360" w:lineRule="auto"/>
              <w:rPr>
                <w:rFonts w:hint="eastAsia" w:ascii="宋体" w:hAnsi="宋体" w:eastAsia="宋体" w:cs="宋体"/>
                <w:color w:val="auto"/>
                <w:sz w:val="24"/>
                <w:highlight w:val="none"/>
              </w:rPr>
            </w:pPr>
          </w:p>
        </w:tc>
      </w:tr>
      <w:tr w14:paraId="67A8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906" w:type="dxa"/>
            <w:vAlign w:val="center"/>
          </w:tcPr>
          <w:p w14:paraId="0D413CE7">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服务期</w:t>
            </w:r>
          </w:p>
        </w:tc>
        <w:tc>
          <w:tcPr>
            <w:tcW w:w="5836" w:type="dxa"/>
            <w:vAlign w:val="center"/>
          </w:tcPr>
          <w:p w14:paraId="0D6A2431">
            <w:pPr>
              <w:spacing w:line="360" w:lineRule="auto"/>
              <w:rPr>
                <w:rFonts w:hint="eastAsia" w:ascii="宋体" w:hAnsi="宋体" w:eastAsia="宋体" w:cs="宋体"/>
                <w:color w:val="auto"/>
                <w:sz w:val="24"/>
                <w:highlight w:val="none"/>
              </w:rPr>
            </w:pPr>
          </w:p>
        </w:tc>
      </w:tr>
      <w:tr w14:paraId="6F10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2906" w:type="dxa"/>
            <w:vAlign w:val="center"/>
          </w:tcPr>
          <w:p w14:paraId="01B8E79B">
            <w:pPr>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eastAsia="zh-CN"/>
              </w:rPr>
              <w:t>服务标准</w:t>
            </w:r>
            <w:r>
              <w:rPr>
                <w:rFonts w:hint="eastAsia" w:ascii="宋体" w:hAnsi="宋体" w:eastAsia="宋体" w:cs="宋体"/>
                <w:color w:val="auto"/>
                <w:sz w:val="24"/>
                <w:highlight w:val="none"/>
              </w:rPr>
              <w:t xml:space="preserve"> </w:t>
            </w:r>
          </w:p>
        </w:tc>
        <w:tc>
          <w:tcPr>
            <w:tcW w:w="5836" w:type="dxa"/>
            <w:vAlign w:val="center"/>
          </w:tcPr>
          <w:p w14:paraId="2472E9BC">
            <w:pPr>
              <w:spacing w:line="360" w:lineRule="auto"/>
              <w:rPr>
                <w:rFonts w:hint="eastAsia" w:ascii="宋体" w:hAnsi="宋体" w:eastAsia="宋体" w:cs="宋体"/>
                <w:color w:val="auto"/>
                <w:sz w:val="24"/>
                <w:highlight w:val="none"/>
              </w:rPr>
            </w:pPr>
          </w:p>
        </w:tc>
      </w:tr>
      <w:tr w14:paraId="57A9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906" w:type="dxa"/>
            <w:vAlign w:val="center"/>
          </w:tcPr>
          <w:p w14:paraId="26CC1FA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5836" w:type="dxa"/>
            <w:vAlign w:val="center"/>
          </w:tcPr>
          <w:p w14:paraId="75A083F6">
            <w:pPr>
              <w:spacing w:line="360" w:lineRule="auto"/>
              <w:rPr>
                <w:rFonts w:hint="eastAsia" w:ascii="宋体" w:hAnsi="宋体" w:eastAsia="宋体" w:cs="宋体"/>
                <w:color w:val="auto"/>
                <w:sz w:val="24"/>
                <w:highlight w:val="none"/>
              </w:rPr>
            </w:pPr>
          </w:p>
        </w:tc>
      </w:tr>
      <w:tr w14:paraId="2B49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2906" w:type="dxa"/>
            <w:vAlign w:val="center"/>
          </w:tcPr>
          <w:p w14:paraId="52750C76">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其他内容</w:t>
            </w:r>
          </w:p>
        </w:tc>
        <w:tc>
          <w:tcPr>
            <w:tcW w:w="5836" w:type="dxa"/>
            <w:vAlign w:val="center"/>
          </w:tcPr>
          <w:p w14:paraId="0EC52C77">
            <w:pPr>
              <w:pStyle w:val="24"/>
              <w:spacing w:line="360" w:lineRule="auto"/>
              <w:ind w:left="0" w:leftChars="0"/>
              <w:rPr>
                <w:rFonts w:hint="eastAsia" w:ascii="宋体" w:hAnsi="宋体" w:eastAsia="宋体" w:cs="宋体"/>
                <w:color w:val="auto"/>
                <w:sz w:val="24"/>
                <w:highlight w:val="none"/>
              </w:rPr>
            </w:pPr>
            <w:r>
              <w:rPr>
                <w:rFonts w:hint="eastAsia" w:ascii="宋体" w:hAnsi="宋体" w:eastAsia="宋体" w:cs="宋体"/>
                <w:color w:val="auto"/>
                <w:sz w:val="24"/>
                <w:highlight w:val="none"/>
              </w:rPr>
              <w:t>（可另附页）</w:t>
            </w:r>
          </w:p>
        </w:tc>
      </w:tr>
    </w:tbl>
    <w:p w14:paraId="68D3B676">
      <w:pPr>
        <w:spacing w:line="360" w:lineRule="auto"/>
        <w:jc w:val="right"/>
        <w:rPr>
          <w:rFonts w:hint="eastAsia" w:ascii="宋体" w:hAnsi="宋体" w:eastAsia="宋体" w:cs="宋体"/>
          <w:color w:val="auto"/>
          <w:sz w:val="24"/>
          <w:highlight w:val="none"/>
        </w:rPr>
      </w:pPr>
    </w:p>
    <w:p w14:paraId="1995F08D">
      <w:pPr>
        <w:spacing w:line="360" w:lineRule="auto"/>
        <w:jc w:val="right"/>
        <w:rPr>
          <w:rFonts w:hint="eastAsia" w:ascii="宋体" w:hAnsi="宋体" w:eastAsia="宋体" w:cs="宋体"/>
          <w:color w:val="auto"/>
          <w:sz w:val="24"/>
          <w:highlight w:val="none"/>
        </w:rPr>
      </w:pPr>
    </w:p>
    <w:p w14:paraId="4B22D499">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p>
    <w:p w14:paraId="181E0829">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（签章）</w:t>
      </w:r>
    </w:p>
    <w:p w14:paraId="5C691ECF">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bookmarkStart w:id="279" w:name="_Toc505093194"/>
    </w:p>
    <w:p w14:paraId="38939EDA">
      <w:pPr>
        <w:pStyle w:val="4"/>
        <w:spacing w:before="0" w:after="0" w:line="360" w:lineRule="auto"/>
        <w:jc w:val="center"/>
        <w:outlineLvl w:val="9"/>
        <w:rPr>
          <w:rFonts w:hint="eastAsia" w:ascii="宋体" w:hAnsi="宋体" w:eastAsia="宋体" w:cs="宋体"/>
          <w:color w:val="auto"/>
          <w:sz w:val="28"/>
          <w:szCs w:val="24"/>
          <w:highlight w:val="none"/>
        </w:rPr>
      </w:pPr>
    </w:p>
    <w:p w14:paraId="0AA36557">
      <w:pPr>
        <w:rPr>
          <w:rFonts w:hint="eastAsia" w:ascii="宋体" w:hAnsi="宋体" w:eastAsia="宋体" w:cs="宋体"/>
          <w:color w:val="auto"/>
          <w:highlight w:val="none"/>
        </w:rPr>
      </w:pPr>
    </w:p>
    <w:bookmarkEnd w:id="279"/>
    <w:p w14:paraId="42699882">
      <w:pPr>
        <w:spacing w:line="360" w:lineRule="auto"/>
        <w:rPr>
          <w:rFonts w:hint="eastAsia" w:ascii="宋体" w:hAnsi="宋体" w:eastAsia="宋体" w:cs="宋体"/>
          <w:color w:val="auto"/>
          <w:sz w:val="24"/>
          <w:highlight w:val="none"/>
        </w:rPr>
      </w:pPr>
    </w:p>
    <w:p w14:paraId="7F0E6E8B">
      <w:pPr>
        <w:pStyle w:val="4"/>
        <w:spacing w:before="0" w:after="0" w:line="360" w:lineRule="auto"/>
        <w:jc w:val="center"/>
        <w:outlineLvl w:val="1"/>
        <w:rPr>
          <w:rFonts w:hint="eastAsia" w:ascii="宋体" w:hAnsi="宋体" w:eastAsia="宋体" w:cs="宋体"/>
          <w:color w:val="auto"/>
          <w:sz w:val="28"/>
          <w:szCs w:val="24"/>
          <w:highlight w:val="none"/>
        </w:rPr>
      </w:pPr>
      <w:bookmarkStart w:id="280" w:name="_Toc10318"/>
    </w:p>
    <w:p w14:paraId="0E53CEB2">
      <w:pPr>
        <w:rPr>
          <w:rFonts w:hint="eastAsia" w:ascii="宋体" w:hAnsi="宋体" w:eastAsia="宋体" w:cs="宋体"/>
          <w:color w:val="auto"/>
          <w:sz w:val="28"/>
          <w:szCs w:val="24"/>
          <w:highlight w:val="none"/>
        </w:rPr>
      </w:pPr>
    </w:p>
    <w:p w14:paraId="44B48137">
      <w:pPr>
        <w:rPr>
          <w:rFonts w:hint="eastAsia" w:ascii="宋体" w:hAnsi="宋体" w:eastAsia="宋体" w:cs="宋体"/>
          <w:color w:val="auto"/>
          <w:sz w:val="28"/>
          <w:szCs w:val="24"/>
          <w:highlight w:val="none"/>
        </w:rPr>
      </w:pPr>
    </w:p>
    <w:p w14:paraId="433ABD95">
      <w:pPr>
        <w:pStyle w:val="41"/>
        <w:rPr>
          <w:rFonts w:hint="eastAsia" w:ascii="宋体" w:hAnsi="宋体" w:eastAsia="宋体" w:cs="宋体"/>
          <w:color w:val="auto"/>
          <w:sz w:val="24"/>
          <w:szCs w:val="24"/>
          <w:highlight w:val="none"/>
        </w:rPr>
      </w:pPr>
      <w:r>
        <w:rPr>
          <w:rFonts w:hint="eastAsia" w:ascii="宋体" w:hAnsi="宋体" w:cs="宋体"/>
          <w:b/>
          <w:bCs/>
          <w:color w:val="auto"/>
          <w:sz w:val="24"/>
          <w:highlight w:val="none"/>
          <w:lang w:val="zh-CN"/>
        </w:rPr>
        <w:t>附表</w:t>
      </w:r>
      <w:r>
        <w:rPr>
          <w:rFonts w:hint="eastAsia" w:ascii="宋体" w:hAnsi="宋体" w:cs="宋体"/>
          <w:b/>
          <w:bCs/>
          <w:color w:val="auto"/>
          <w:sz w:val="24"/>
          <w:highlight w:val="none"/>
          <w:lang w:val="en-US" w:eastAsia="zh-CN"/>
        </w:rPr>
        <w:t>1：分项报价</w:t>
      </w:r>
      <w:r>
        <w:rPr>
          <w:rFonts w:hint="eastAsia" w:ascii="宋体" w:hAnsi="宋体" w:eastAsia="宋体" w:cs="宋体"/>
          <w:b/>
          <w:color w:val="auto"/>
          <w:sz w:val="24"/>
          <w:szCs w:val="24"/>
          <w:highlight w:val="none"/>
          <w:lang w:bidi="ar"/>
        </w:rPr>
        <w:t>明细</w:t>
      </w:r>
      <w:r>
        <w:rPr>
          <w:rFonts w:hint="eastAsia" w:ascii="宋体" w:hAnsi="宋体" w:cs="宋体"/>
          <w:b/>
          <w:bCs/>
          <w:color w:val="auto"/>
          <w:sz w:val="24"/>
          <w:highlight w:val="none"/>
          <w:lang w:val="en-US" w:eastAsia="zh-CN"/>
        </w:rPr>
        <w:t>表</w:t>
      </w:r>
    </w:p>
    <w:tbl>
      <w:tblPr>
        <w:tblStyle w:val="43"/>
        <w:tblW w:w="8905" w:type="dxa"/>
        <w:jc w:val="center"/>
        <w:tblLayout w:type="fixed"/>
        <w:tblCellMar>
          <w:top w:w="0" w:type="dxa"/>
          <w:left w:w="108" w:type="dxa"/>
          <w:bottom w:w="0" w:type="dxa"/>
          <w:right w:w="108" w:type="dxa"/>
        </w:tblCellMar>
      </w:tblPr>
      <w:tblGrid>
        <w:gridCol w:w="631"/>
        <w:gridCol w:w="3174"/>
        <w:gridCol w:w="753"/>
        <w:gridCol w:w="815"/>
        <w:gridCol w:w="887"/>
        <w:gridCol w:w="1800"/>
        <w:gridCol w:w="845"/>
      </w:tblGrid>
      <w:tr w14:paraId="16CD2F8F">
        <w:tblPrEx>
          <w:tblCellMar>
            <w:top w:w="0" w:type="dxa"/>
            <w:left w:w="108" w:type="dxa"/>
            <w:bottom w:w="0" w:type="dxa"/>
            <w:right w:w="108" w:type="dxa"/>
          </w:tblCellMar>
        </w:tblPrEx>
        <w:trPr>
          <w:trHeight w:val="1069"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14:paraId="12C3B52C">
            <w:pPr>
              <w:spacing w:before="8"/>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序号</w:t>
            </w:r>
          </w:p>
        </w:tc>
        <w:tc>
          <w:tcPr>
            <w:tcW w:w="3174" w:type="dxa"/>
            <w:tcBorders>
              <w:top w:val="single" w:color="auto" w:sz="4" w:space="0"/>
              <w:left w:val="nil"/>
              <w:bottom w:val="single" w:color="auto" w:sz="4" w:space="0"/>
              <w:right w:val="single" w:color="auto" w:sz="4" w:space="0"/>
            </w:tcBorders>
            <w:noWrap w:val="0"/>
            <w:vAlign w:val="center"/>
          </w:tcPr>
          <w:p w14:paraId="48FE34DB">
            <w:pPr>
              <w:spacing w:before="8"/>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产品</w:t>
            </w:r>
            <w:r>
              <w:rPr>
                <w:rFonts w:hint="eastAsia" w:ascii="宋体" w:hAnsi="宋体" w:eastAsia="宋体"/>
                <w:color w:val="auto"/>
                <w:sz w:val="24"/>
                <w:szCs w:val="24"/>
                <w:highlight w:val="none"/>
              </w:rPr>
              <w:t>名称</w:t>
            </w:r>
          </w:p>
        </w:tc>
        <w:tc>
          <w:tcPr>
            <w:tcW w:w="753" w:type="dxa"/>
            <w:tcBorders>
              <w:top w:val="single" w:color="auto" w:sz="4" w:space="0"/>
              <w:left w:val="nil"/>
              <w:bottom w:val="single" w:color="auto" w:sz="4" w:space="0"/>
              <w:right w:val="single" w:color="auto" w:sz="4" w:space="0"/>
            </w:tcBorders>
            <w:noWrap w:val="0"/>
            <w:vAlign w:val="center"/>
          </w:tcPr>
          <w:p w14:paraId="38BAB1A1">
            <w:pPr>
              <w:spacing w:before="8"/>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单位</w:t>
            </w:r>
          </w:p>
        </w:tc>
        <w:tc>
          <w:tcPr>
            <w:tcW w:w="815" w:type="dxa"/>
            <w:tcBorders>
              <w:top w:val="single" w:color="auto" w:sz="4" w:space="0"/>
              <w:left w:val="nil"/>
              <w:bottom w:val="single" w:color="auto" w:sz="4" w:space="0"/>
              <w:right w:val="single" w:color="auto" w:sz="4" w:space="0"/>
            </w:tcBorders>
            <w:noWrap w:val="0"/>
            <w:vAlign w:val="center"/>
          </w:tcPr>
          <w:p w14:paraId="719749B3">
            <w:pPr>
              <w:spacing w:before="8"/>
              <w:jc w:val="center"/>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数量</w:t>
            </w:r>
          </w:p>
        </w:tc>
        <w:tc>
          <w:tcPr>
            <w:tcW w:w="887" w:type="dxa"/>
            <w:tcBorders>
              <w:top w:val="single" w:color="auto" w:sz="4" w:space="0"/>
              <w:left w:val="nil"/>
              <w:bottom w:val="single" w:color="auto" w:sz="4" w:space="0"/>
              <w:right w:val="single" w:color="auto" w:sz="4" w:space="0"/>
            </w:tcBorders>
            <w:noWrap w:val="0"/>
            <w:vAlign w:val="center"/>
          </w:tcPr>
          <w:p w14:paraId="7181C895">
            <w:pPr>
              <w:spacing w:before="8"/>
              <w:jc w:val="center"/>
              <w:rPr>
                <w:rFonts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单价（元）</w:t>
            </w:r>
          </w:p>
        </w:tc>
        <w:tc>
          <w:tcPr>
            <w:tcW w:w="1800" w:type="dxa"/>
            <w:tcBorders>
              <w:top w:val="single" w:color="auto" w:sz="4" w:space="0"/>
              <w:left w:val="nil"/>
              <w:bottom w:val="single" w:color="auto" w:sz="4" w:space="0"/>
              <w:right w:val="single" w:color="auto" w:sz="4" w:space="0"/>
            </w:tcBorders>
            <w:noWrap w:val="0"/>
            <w:vAlign w:val="center"/>
          </w:tcPr>
          <w:p w14:paraId="7FADD7AB">
            <w:pPr>
              <w:spacing w:before="8"/>
              <w:jc w:val="center"/>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总</w:t>
            </w:r>
            <w:r>
              <w:rPr>
                <w:rFonts w:hint="eastAsia" w:ascii="宋体" w:hAnsi="宋体" w:eastAsia="宋体"/>
                <w:color w:val="auto"/>
                <w:sz w:val="24"/>
                <w:szCs w:val="24"/>
                <w:highlight w:val="none"/>
              </w:rPr>
              <w:t>价（元）</w:t>
            </w:r>
          </w:p>
        </w:tc>
        <w:tc>
          <w:tcPr>
            <w:tcW w:w="845" w:type="dxa"/>
            <w:tcBorders>
              <w:top w:val="single" w:color="auto" w:sz="4" w:space="0"/>
              <w:left w:val="nil"/>
              <w:bottom w:val="single" w:color="auto" w:sz="4" w:space="0"/>
              <w:right w:val="single" w:color="auto" w:sz="4" w:space="0"/>
            </w:tcBorders>
            <w:noWrap w:val="0"/>
            <w:vAlign w:val="center"/>
          </w:tcPr>
          <w:p w14:paraId="68DDB254">
            <w:pPr>
              <w:spacing w:before="8"/>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备注</w:t>
            </w:r>
          </w:p>
        </w:tc>
      </w:tr>
      <w:tr w14:paraId="2F4DBF16">
        <w:tblPrEx>
          <w:tblCellMar>
            <w:top w:w="0" w:type="dxa"/>
            <w:left w:w="108" w:type="dxa"/>
            <w:bottom w:w="0" w:type="dxa"/>
            <w:right w:w="108" w:type="dxa"/>
          </w:tblCellMar>
        </w:tblPrEx>
        <w:trPr>
          <w:trHeight w:val="90"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14:paraId="434C6C90">
            <w:pPr>
              <w:spacing w:before="8"/>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w:t>
            </w:r>
          </w:p>
        </w:tc>
        <w:tc>
          <w:tcPr>
            <w:tcW w:w="3174" w:type="dxa"/>
            <w:tcBorders>
              <w:top w:val="single" w:color="auto" w:sz="4" w:space="0"/>
              <w:left w:val="nil"/>
              <w:bottom w:val="single" w:color="auto" w:sz="4" w:space="0"/>
              <w:right w:val="single" w:color="auto" w:sz="4" w:space="0"/>
            </w:tcBorders>
            <w:noWrap w:val="0"/>
            <w:vAlign w:val="center"/>
          </w:tcPr>
          <w:p w14:paraId="5519A99A">
            <w:pPr>
              <w:spacing w:before="8"/>
              <w:rPr>
                <w:rFonts w:ascii="宋体" w:hAnsi="宋体" w:eastAsia="宋体"/>
                <w:color w:val="auto"/>
                <w:sz w:val="28"/>
                <w:szCs w:val="28"/>
                <w:highlight w:val="none"/>
              </w:rPr>
            </w:pPr>
          </w:p>
        </w:tc>
        <w:tc>
          <w:tcPr>
            <w:tcW w:w="753" w:type="dxa"/>
            <w:tcBorders>
              <w:top w:val="single" w:color="auto" w:sz="4" w:space="0"/>
              <w:left w:val="nil"/>
              <w:bottom w:val="single" w:color="auto" w:sz="4" w:space="0"/>
              <w:right w:val="single" w:color="auto" w:sz="4" w:space="0"/>
            </w:tcBorders>
            <w:noWrap w:val="0"/>
            <w:vAlign w:val="center"/>
          </w:tcPr>
          <w:p w14:paraId="02A46BE8">
            <w:pPr>
              <w:spacing w:before="8"/>
              <w:rPr>
                <w:rFonts w:ascii="宋体" w:hAnsi="宋体" w:eastAsia="宋体"/>
                <w:color w:val="auto"/>
                <w:sz w:val="28"/>
                <w:szCs w:val="28"/>
                <w:highlight w:val="none"/>
              </w:rPr>
            </w:pPr>
          </w:p>
        </w:tc>
        <w:tc>
          <w:tcPr>
            <w:tcW w:w="815" w:type="dxa"/>
            <w:tcBorders>
              <w:top w:val="single" w:color="auto" w:sz="4" w:space="0"/>
              <w:left w:val="nil"/>
              <w:bottom w:val="single" w:color="auto" w:sz="4" w:space="0"/>
              <w:right w:val="single" w:color="auto" w:sz="4" w:space="0"/>
            </w:tcBorders>
            <w:noWrap w:val="0"/>
            <w:vAlign w:val="center"/>
          </w:tcPr>
          <w:p w14:paraId="55EE5150">
            <w:pPr>
              <w:spacing w:before="8"/>
              <w:rPr>
                <w:rFonts w:ascii="宋体" w:hAnsi="宋体" w:eastAsia="宋体"/>
                <w:color w:val="auto"/>
                <w:sz w:val="28"/>
                <w:szCs w:val="28"/>
                <w:highlight w:val="none"/>
              </w:rPr>
            </w:pPr>
          </w:p>
        </w:tc>
        <w:tc>
          <w:tcPr>
            <w:tcW w:w="887" w:type="dxa"/>
            <w:tcBorders>
              <w:top w:val="single" w:color="auto" w:sz="4" w:space="0"/>
              <w:left w:val="nil"/>
              <w:bottom w:val="single" w:color="auto" w:sz="4" w:space="0"/>
              <w:right w:val="single" w:color="auto" w:sz="4" w:space="0"/>
            </w:tcBorders>
            <w:noWrap w:val="0"/>
            <w:vAlign w:val="center"/>
          </w:tcPr>
          <w:p w14:paraId="1AE0EDD7">
            <w:pPr>
              <w:spacing w:before="8"/>
              <w:rPr>
                <w:rFonts w:ascii="宋体" w:hAnsi="宋体" w:eastAsia="宋体"/>
                <w:color w:val="auto"/>
                <w:sz w:val="28"/>
                <w:szCs w:val="28"/>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34CC5B64">
            <w:pPr>
              <w:spacing w:before="8"/>
              <w:rPr>
                <w:rFonts w:ascii="宋体" w:hAnsi="宋体" w:eastAsia="宋体"/>
                <w:color w:val="auto"/>
                <w:sz w:val="28"/>
                <w:szCs w:val="28"/>
                <w:highlight w:val="none"/>
              </w:rPr>
            </w:pPr>
          </w:p>
        </w:tc>
        <w:tc>
          <w:tcPr>
            <w:tcW w:w="845" w:type="dxa"/>
            <w:tcBorders>
              <w:top w:val="single" w:color="auto" w:sz="4" w:space="0"/>
              <w:left w:val="nil"/>
              <w:bottom w:val="single" w:color="auto" w:sz="4" w:space="0"/>
              <w:right w:val="single" w:color="auto" w:sz="4" w:space="0"/>
            </w:tcBorders>
            <w:noWrap w:val="0"/>
            <w:vAlign w:val="center"/>
          </w:tcPr>
          <w:p w14:paraId="2226486F">
            <w:pPr>
              <w:spacing w:before="8"/>
              <w:rPr>
                <w:rFonts w:ascii="宋体" w:hAnsi="宋体" w:eastAsia="宋体"/>
                <w:color w:val="auto"/>
                <w:sz w:val="28"/>
                <w:szCs w:val="28"/>
                <w:highlight w:val="none"/>
              </w:rPr>
            </w:pPr>
          </w:p>
        </w:tc>
      </w:tr>
      <w:tr w14:paraId="02B954DF">
        <w:tblPrEx>
          <w:tblCellMar>
            <w:top w:w="0" w:type="dxa"/>
            <w:left w:w="108" w:type="dxa"/>
            <w:bottom w:w="0" w:type="dxa"/>
            <w:right w:w="108" w:type="dxa"/>
          </w:tblCellMar>
        </w:tblPrEx>
        <w:trPr>
          <w:trHeight w:val="597"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14:paraId="2CC3CE56">
            <w:pPr>
              <w:spacing w:before="8"/>
              <w:jc w:val="center"/>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w:t>
            </w:r>
          </w:p>
        </w:tc>
        <w:tc>
          <w:tcPr>
            <w:tcW w:w="3174" w:type="dxa"/>
            <w:tcBorders>
              <w:top w:val="single" w:color="auto" w:sz="4" w:space="0"/>
              <w:left w:val="nil"/>
              <w:bottom w:val="single" w:color="auto" w:sz="4" w:space="0"/>
              <w:right w:val="single" w:color="auto" w:sz="4" w:space="0"/>
            </w:tcBorders>
            <w:noWrap w:val="0"/>
            <w:vAlign w:val="center"/>
          </w:tcPr>
          <w:p w14:paraId="35A1324D">
            <w:pPr>
              <w:spacing w:before="8"/>
              <w:rPr>
                <w:rFonts w:ascii="宋体" w:hAnsi="宋体" w:eastAsia="宋体"/>
                <w:color w:val="auto"/>
                <w:sz w:val="28"/>
                <w:szCs w:val="28"/>
                <w:highlight w:val="none"/>
              </w:rPr>
            </w:pPr>
          </w:p>
        </w:tc>
        <w:tc>
          <w:tcPr>
            <w:tcW w:w="753" w:type="dxa"/>
            <w:tcBorders>
              <w:top w:val="single" w:color="auto" w:sz="4" w:space="0"/>
              <w:left w:val="nil"/>
              <w:bottom w:val="single" w:color="auto" w:sz="4" w:space="0"/>
              <w:right w:val="single" w:color="auto" w:sz="4" w:space="0"/>
            </w:tcBorders>
            <w:noWrap w:val="0"/>
            <w:vAlign w:val="center"/>
          </w:tcPr>
          <w:p w14:paraId="398D10A9">
            <w:pPr>
              <w:spacing w:before="8"/>
              <w:rPr>
                <w:rFonts w:ascii="宋体" w:hAnsi="宋体" w:eastAsia="宋体"/>
                <w:color w:val="auto"/>
                <w:sz w:val="28"/>
                <w:szCs w:val="28"/>
                <w:highlight w:val="none"/>
              </w:rPr>
            </w:pPr>
          </w:p>
        </w:tc>
        <w:tc>
          <w:tcPr>
            <w:tcW w:w="815" w:type="dxa"/>
            <w:tcBorders>
              <w:top w:val="single" w:color="auto" w:sz="4" w:space="0"/>
              <w:left w:val="nil"/>
              <w:bottom w:val="single" w:color="auto" w:sz="4" w:space="0"/>
              <w:right w:val="single" w:color="auto" w:sz="4" w:space="0"/>
            </w:tcBorders>
            <w:noWrap w:val="0"/>
            <w:vAlign w:val="center"/>
          </w:tcPr>
          <w:p w14:paraId="6BEC6277">
            <w:pPr>
              <w:spacing w:before="8"/>
              <w:rPr>
                <w:rFonts w:ascii="宋体" w:hAnsi="宋体" w:eastAsia="宋体"/>
                <w:color w:val="auto"/>
                <w:sz w:val="28"/>
                <w:szCs w:val="28"/>
                <w:highlight w:val="none"/>
              </w:rPr>
            </w:pPr>
          </w:p>
        </w:tc>
        <w:tc>
          <w:tcPr>
            <w:tcW w:w="887" w:type="dxa"/>
            <w:tcBorders>
              <w:top w:val="single" w:color="auto" w:sz="4" w:space="0"/>
              <w:left w:val="nil"/>
              <w:bottom w:val="single" w:color="auto" w:sz="4" w:space="0"/>
              <w:right w:val="single" w:color="auto" w:sz="4" w:space="0"/>
            </w:tcBorders>
            <w:noWrap w:val="0"/>
            <w:vAlign w:val="center"/>
          </w:tcPr>
          <w:p w14:paraId="76E31F21">
            <w:pPr>
              <w:spacing w:before="8"/>
              <w:rPr>
                <w:rFonts w:ascii="宋体" w:hAnsi="宋体" w:eastAsia="宋体"/>
                <w:color w:val="auto"/>
                <w:sz w:val="28"/>
                <w:szCs w:val="28"/>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0063D5C2">
            <w:pPr>
              <w:spacing w:before="8"/>
              <w:rPr>
                <w:rFonts w:ascii="宋体" w:hAnsi="宋体" w:eastAsia="宋体"/>
                <w:color w:val="auto"/>
                <w:sz w:val="28"/>
                <w:szCs w:val="28"/>
                <w:highlight w:val="none"/>
              </w:rPr>
            </w:pPr>
          </w:p>
        </w:tc>
        <w:tc>
          <w:tcPr>
            <w:tcW w:w="845" w:type="dxa"/>
            <w:tcBorders>
              <w:top w:val="single" w:color="auto" w:sz="4" w:space="0"/>
              <w:left w:val="nil"/>
              <w:bottom w:val="single" w:color="auto" w:sz="4" w:space="0"/>
              <w:right w:val="single" w:color="auto" w:sz="4" w:space="0"/>
            </w:tcBorders>
            <w:noWrap w:val="0"/>
            <w:vAlign w:val="center"/>
          </w:tcPr>
          <w:p w14:paraId="01FACE69">
            <w:pPr>
              <w:spacing w:before="8"/>
              <w:rPr>
                <w:rFonts w:ascii="宋体" w:hAnsi="宋体" w:eastAsia="宋体"/>
                <w:color w:val="auto"/>
                <w:sz w:val="28"/>
                <w:szCs w:val="28"/>
                <w:highlight w:val="none"/>
              </w:rPr>
            </w:pPr>
          </w:p>
        </w:tc>
      </w:tr>
      <w:tr w14:paraId="51EF94AD">
        <w:tblPrEx>
          <w:tblCellMar>
            <w:top w:w="0" w:type="dxa"/>
            <w:left w:w="108" w:type="dxa"/>
            <w:bottom w:w="0" w:type="dxa"/>
            <w:right w:w="108" w:type="dxa"/>
          </w:tblCellMar>
        </w:tblPrEx>
        <w:trPr>
          <w:trHeight w:val="598"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14:paraId="51A699BE">
            <w:pPr>
              <w:spacing w:before="8"/>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p>
        </w:tc>
        <w:tc>
          <w:tcPr>
            <w:tcW w:w="3174" w:type="dxa"/>
            <w:tcBorders>
              <w:top w:val="single" w:color="auto" w:sz="4" w:space="0"/>
              <w:left w:val="nil"/>
              <w:bottom w:val="single" w:color="auto" w:sz="4" w:space="0"/>
              <w:right w:val="single" w:color="auto" w:sz="4" w:space="0"/>
            </w:tcBorders>
            <w:noWrap w:val="0"/>
            <w:vAlign w:val="center"/>
          </w:tcPr>
          <w:p w14:paraId="61134385">
            <w:pPr>
              <w:spacing w:before="8"/>
              <w:rPr>
                <w:rFonts w:ascii="宋体" w:hAnsi="宋体" w:eastAsia="宋体"/>
                <w:color w:val="auto"/>
                <w:sz w:val="28"/>
                <w:szCs w:val="28"/>
                <w:highlight w:val="none"/>
              </w:rPr>
            </w:pPr>
          </w:p>
        </w:tc>
        <w:tc>
          <w:tcPr>
            <w:tcW w:w="753" w:type="dxa"/>
            <w:tcBorders>
              <w:top w:val="single" w:color="auto" w:sz="4" w:space="0"/>
              <w:left w:val="nil"/>
              <w:bottom w:val="single" w:color="auto" w:sz="4" w:space="0"/>
              <w:right w:val="single" w:color="auto" w:sz="4" w:space="0"/>
            </w:tcBorders>
            <w:noWrap w:val="0"/>
            <w:vAlign w:val="center"/>
          </w:tcPr>
          <w:p w14:paraId="4F2DCC6A">
            <w:pPr>
              <w:spacing w:before="8"/>
              <w:rPr>
                <w:rFonts w:ascii="宋体" w:hAnsi="宋体" w:eastAsia="宋体"/>
                <w:color w:val="auto"/>
                <w:sz w:val="28"/>
                <w:szCs w:val="28"/>
                <w:highlight w:val="none"/>
              </w:rPr>
            </w:pPr>
          </w:p>
        </w:tc>
        <w:tc>
          <w:tcPr>
            <w:tcW w:w="815" w:type="dxa"/>
            <w:tcBorders>
              <w:top w:val="single" w:color="auto" w:sz="4" w:space="0"/>
              <w:left w:val="nil"/>
              <w:bottom w:val="single" w:color="auto" w:sz="4" w:space="0"/>
              <w:right w:val="single" w:color="auto" w:sz="4" w:space="0"/>
            </w:tcBorders>
            <w:noWrap w:val="0"/>
            <w:vAlign w:val="center"/>
          </w:tcPr>
          <w:p w14:paraId="06E28EF4">
            <w:pPr>
              <w:spacing w:before="8"/>
              <w:rPr>
                <w:rFonts w:ascii="宋体" w:hAnsi="宋体" w:eastAsia="宋体"/>
                <w:color w:val="auto"/>
                <w:sz w:val="28"/>
                <w:szCs w:val="28"/>
                <w:highlight w:val="none"/>
              </w:rPr>
            </w:pPr>
          </w:p>
        </w:tc>
        <w:tc>
          <w:tcPr>
            <w:tcW w:w="887" w:type="dxa"/>
            <w:tcBorders>
              <w:top w:val="single" w:color="auto" w:sz="4" w:space="0"/>
              <w:left w:val="nil"/>
              <w:bottom w:val="single" w:color="auto" w:sz="4" w:space="0"/>
              <w:right w:val="single" w:color="auto" w:sz="4" w:space="0"/>
            </w:tcBorders>
            <w:noWrap w:val="0"/>
            <w:vAlign w:val="center"/>
          </w:tcPr>
          <w:p w14:paraId="03C16EBB">
            <w:pPr>
              <w:spacing w:before="8"/>
              <w:rPr>
                <w:rFonts w:ascii="宋体" w:hAnsi="宋体" w:eastAsia="宋体"/>
                <w:color w:val="auto"/>
                <w:sz w:val="28"/>
                <w:szCs w:val="28"/>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1CCD0ED8">
            <w:pPr>
              <w:spacing w:before="8"/>
              <w:rPr>
                <w:rFonts w:ascii="宋体" w:hAnsi="宋体" w:eastAsia="宋体"/>
                <w:color w:val="auto"/>
                <w:sz w:val="28"/>
                <w:szCs w:val="28"/>
                <w:highlight w:val="none"/>
              </w:rPr>
            </w:pPr>
          </w:p>
        </w:tc>
        <w:tc>
          <w:tcPr>
            <w:tcW w:w="845" w:type="dxa"/>
            <w:tcBorders>
              <w:top w:val="single" w:color="auto" w:sz="4" w:space="0"/>
              <w:left w:val="nil"/>
              <w:bottom w:val="single" w:color="auto" w:sz="4" w:space="0"/>
              <w:right w:val="single" w:color="auto" w:sz="4" w:space="0"/>
            </w:tcBorders>
            <w:noWrap w:val="0"/>
            <w:vAlign w:val="center"/>
          </w:tcPr>
          <w:p w14:paraId="2A3575AD">
            <w:pPr>
              <w:spacing w:before="8"/>
              <w:rPr>
                <w:rFonts w:ascii="宋体" w:hAnsi="宋体" w:eastAsia="宋体"/>
                <w:color w:val="auto"/>
                <w:sz w:val="28"/>
                <w:szCs w:val="28"/>
                <w:highlight w:val="none"/>
              </w:rPr>
            </w:pPr>
          </w:p>
        </w:tc>
      </w:tr>
      <w:tr w14:paraId="27781F5A">
        <w:tblPrEx>
          <w:tblCellMar>
            <w:top w:w="0" w:type="dxa"/>
            <w:left w:w="108" w:type="dxa"/>
            <w:bottom w:w="0" w:type="dxa"/>
            <w:right w:w="108" w:type="dxa"/>
          </w:tblCellMar>
        </w:tblPrEx>
        <w:trPr>
          <w:trHeight w:val="826" w:hRule="atLeast"/>
          <w:jc w:val="center"/>
        </w:trPr>
        <w:tc>
          <w:tcPr>
            <w:tcW w:w="631" w:type="dxa"/>
            <w:tcBorders>
              <w:top w:val="single" w:color="auto" w:sz="4" w:space="0"/>
              <w:left w:val="single" w:color="auto" w:sz="4" w:space="0"/>
              <w:bottom w:val="single" w:color="auto" w:sz="4" w:space="0"/>
              <w:right w:val="single" w:color="auto" w:sz="4" w:space="0"/>
            </w:tcBorders>
            <w:noWrap w:val="0"/>
            <w:vAlign w:val="center"/>
          </w:tcPr>
          <w:p w14:paraId="4AD62C45">
            <w:pPr>
              <w:spacing w:before="8"/>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w:t>
            </w:r>
          </w:p>
        </w:tc>
        <w:tc>
          <w:tcPr>
            <w:tcW w:w="3174" w:type="dxa"/>
            <w:tcBorders>
              <w:top w:val="single" w:color="auto" w:sz="4" w:space="0"/>
              <w:left w:val="nil"/>
              <w:bottom w:val="single" w:color="auto" w:sz="4" w:space="0"/>
              <w:right w:val="single" w:color="auto" w:sz="4" w:space="0"/>
            </w:tcBorders>
            <w:noWrap w:val="0"/>
            <w:vAlign w:val="center"/>
          </w:tcPr>
          <w:p w14:paraId="06494888">
            <w:pPr>
              <w:spacing w:before="8"/>
              <w:rPr>
                <w:rFonts w:ascii="宋体" w:hAnsi="宋体" w:eastAsia="宋体"/>
                <w:color w:val="auto"/>
                <w:sz w:val="28"/>
                <w:szCs w:val="28"/>
                <w:highlight w:val="none"/>
              </w:rPr>
            </w:pPr>
          </w:p>
        </w:tc>
        <w:tc>
          <w:tcPr>
            <w:tcW w:w="753" w:type="dxa"/>
            <w:tcBorders>
              <w:top w:val="single" w:color="auto" w:sz="4" w:space="0"/>
              <w:left w:val="nil"/>
              <w:bottom w:val="single" w:color="auto" w:sz="4" w:space="0"/>
              <w:right w:val="single" w:color="auto" w:sz="4" w:space="0"/>
            </w:tcBorders>
            <w:noWrap w:val="0"/>
            <w:vAlign w:val="center"/>
          </w:tcPr>
          <w:p w14:paraId="6D18C61E">
            <w:pPr>
              <w:spacing w:before="8"/>
              <w:rPr>
                <w:rFonts w:ascii="宋体" w:hAnsi="宋体" w:eastAsia="宋体"/>
                <w:color w:val="auto"/>
                <w:sz w:val="28"/>
                <w:szCs w:val="28"/>
                <w:highlight w:val="none"/>
              </w:rPr>
            </w:pPr>
          </w:p>
        </w:tc>
        <w:tc>
          <w:tcPr>
            <w:tcW w:w="815" w:type="dxa"/>
            <w:tcBorders>
              <w:top w:val="single" w:color="auto" w:sz="4" w:space="0"/>
              <w:left w:val="nil"/>
              <w:bottom w:val="single" w:color="auto" w:sz="4" w:space="0"/>
              <w:right w:val="single" w:color="auto" w:sz="4" w:space="0"/>
            </w:tcBorders>
            <w:noWrap w:val="0"/>
            <w:vAlign w:val="center"/>
          </w:tcPr>
          <w:p w14:paraId="63BDAE01">
            <w:pPr>
              <w:spacing w:before="8"/>
              <w:rPr>
                <w:rFonts w:ascii="宋体" w:hAnsi="宋体" w:eastAsia="宋体"/>
                <w:color w:val="auto"/>
                <w:sz w:val="28"/>
                <w:szCs w:val="28"/>
                <w:highlight w:val="none"/>
              </w:rPr>
            </w:pPr>
          </w:p>
        </w:tc>
        <w:tc>
          <w:tcPr>
            <w:tcW w:w="887" w:type="dxa"/>
            <w:tcBorders>
              <w:top w:val="single" w:color="auto" w:sz="4" w:space="0"/>
              <w:left w:val="nil"/>
              <w:bottom w:val="single" w:color="auto" w:sz="4" w:space="0"/>
              <w:right w:val="single" w:color="auto" w:sz="4" w:space="0"/>
            </w:tcBorders>
            <w:noWrap w:val="0"/>
            <w:vAlign w:val="center"/>
          </w:tcPr>
          <w:p w14:paraId="116DC308">
            <w:pPr>
              <w:spacing w:before="8"/>
              <w:rPr>
                <w:rFonts w:ascii="宋体" w:hAnsi="宋体" w:eastAsia="宋体"/>
                <w:color w:val="auto"/>
                <w:sz w:val="28"/>
                <w:szCs w:val="28"/>
                <w:highlight w:val="none"/>
              </w:rPr>
            </w:pPr>
          </w:p>
        </w:tc>
        <w:tc>
          <w:tcPr>
            <w:tcW w:w="1800" w:type="dxa"/>
            <w:tcBorders>
              <w:top w:val="single" w:color="auto" w:sz="4" w:space="0"/>
              <w:left w:val="nil"/>
              <w:bottom w:val="single" w:color="auto" w:sz="4" w:space="0"/>
              <w:right w:val="single" w:color="auto" w:sz="4" w:space="0"/>
            </w:tcBorders>
            <w:noWrap w:val="0"/>
            <w:vAlign w:val="center"/>
          </w:tcPr>
          <w:p w14:paraId="6BE463C5">
            <w:pPr>
              <w:spacing w:before="8"/>
              <w:rPr>
                <w:rFonts w:ascii="宋体" w:hAnsi="宋体" w:eastAsia="宋体"/>
                <w:color w:val="auto"/>
                <w:sz w:val="28"/>
                <w:szCs w:val="28"/>
                <w:highlight w:val="none"/>
              </w:rPr>
            </w:pPr>
          </w:p>
        </w:tc>
        <w:tc>
          <w:tcPr>
            <w:tcW w:w="845" w:type="dxa"/>
            <w:tcBorders>
              <w:top w:val="single" w:color="auto" w:sz="4" w:space="0"/>
              <w:left w:val="nil"/>
              <w:bottom w:val="single" w:color="auto" w:sz="4" w:space="0"/>
              <w:right w:val="single" w:color="auto" w:sz="4" w:space="0"/>
            </w:tcBorders>
            <w:noWrap w:val="0"/>
            <w:vAlign w:val="center"/>
          </w:tcPr>
          <w:p w14:paraId="5C4B2437">
            <w:pPr>
              <w:spacing w:before="8"/>
              <w:rPr>
                <w:rFonts w:ascii="宋体" w:hAnsi="宋体" w:eastAsia="宋体"/>
                <w:color w:val="auto"/>
                <w:sz w:val="28"/>
                <w:szCs w:val="28"/>
                <w:highlight w:val="none"/>
              </w:rPr>
            </w:pPr>
          </w:p>
        </w:tc>
      </w:tr>
      <w:tr w14:paraId="21A55B89">
        <w:tblPrEx>
          <w:tblCellMar>
            <w:top w:w="0" w:type="dxa"/>
            <w:left w:w="108" w:type="dxa"/>
            <w:bottom w:w="0" w:type="dxa"/>
            <w:right w:w="108" w:type="dxa"/>
          </w:tblCellMar>
        </w:tblPrEx>
        <w:trPr>
          <w:trHeight w:val="826" w:hRule="atLeast"/>
          <w:jc w:val="center"/>
        </w:trPr>
        <w:tc>
          <w:tcPr>
            <w:tcW w:w="6260" w:type="dxa"/>
            <w:gridSpan w:val="5"/>
            <w:tcBorders>
              <w:top w:val="single" w:color="auto" w:sz="4" w:space="0"/>
              <w:left w:val="single" w:color="auto" w:sz="4" w:space="0"/>
              <w:bottom w:val="single" w:color="auto" w:sz="4" w:space="0"/>
              <w:right w:val="single" w:color="auto" w:sz="4" w:space="0"/>
            </w:tcBorders>
            <w:noWrap w:val="0"/>
            <w:vAlign w:val="center"/>
          </w:tcPr>
          <w:p w14:paraId="262E46F4">
            <w:pPr>
              <w:spacing w:before="8"/>
              <w:jc w:val="center"/>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lang w:eastAsia="zh-CN"/>
              </w:rPr>
              <w:t>合计</w:t>
            </w:r>
          </w:p>
        </w:tc>
        <w:tc>
          <w:tcPr>
            <w:tcW w:w="2645" w:type="dxa"/>
            <w:gridSpan w:val="2"/>
            <w:tcBorders>
              <w:top w:val="single" w:color="auto" w:sz="4" w:space="0"/>
              <w:left w:val="nil"/>
              <w:bottom w:val="single" w:color="auto" w:sz="4" w:space="0"/>
              <w:right w:val="single" w:color="auto" w:sz="4" w:space="0"/>
            </w:tcBorders>
            <w:noWrap w:val="0"/>
            <w:vAlign w:val="center"/>
          </w:tcPr>
          <w:p w14:paraId="2DB58705">
            <w:pPr>
              <w:spacing w:before="8"/>
              <w:rPr>
                <w:rFonts w:ascii="宋体" w:hAnsi="宋体" w:eastAsia="宋体"/>
                <w:color w:val="auto"/>
                <w:sz w:val="28"/>
                <w:szCs w:val="28"/>
                <w:highlight w:val="none"/>
              </w:rPr>
            </w:pPr>
          </w:p>
        </w:tc>
      </w:tr>
      <w:tr w14:paraId="489F244E">
        <w:tblPrEx>
          <w:tblCellMar>
            <w:top w:w="0" w:type="dxa"/>
            <w:left w:w="108" w:type="dxa"/>
            <w:bottom w:w="0" w:type="dxa"/>
            <w:right w:w="108" w:type="dxa"/>
          </w:tblCellMar>
        </w:tblPrEx>
        <w:trPr>
          <w:trHeight w:val="1064" w:hRule="atLeast"/>
          <w:jc w:val="center"/>
        </w:trPr>
        <w:tc>
          <w:tcPr>
            <w:tcW w:w="8905" w:type="dxa"/>
            <w:gridSpan w:val="7"/>
            <w:tcBorders>
              <w:top w:val="single" w:color="auto" w:sz="4" w:space="0"/>
              <w:left w:val="single" w:color="auto" w:sz="4" w:space="0"/>
              <w:bottom w:val="single" w:color="auto" w:sz="4" w:space="0"/>
              <w:right w:val="single" w:color="auto" w:sz="4" w:space="0"/>
            </w:tcBorders>
            <w:noWrap w:val="0"/>
            <w:vAlign w:val="center"/>
          </w:tcPr>
          <w:p w14:paraId="3F8333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olor w:val="auto"/>
                <w:sz w:val="24"/>
                <w:szCs w:val="24"/>
                <w:highlight w:val="none"/>
              </w:rPr>
            </w:pPr>
            <w:r>
              <w:rPr>
                <w:rFonts w:hint="eastAsia"/>
                <w:color w:val="auto"/>
                <w:sz w:val="24"/>
                <w:szCs w:val="24"/>
                <w:highlight w:val="none"/>
              </w:rPr>
              <w:t>总</w:t>
            </w:r>
            <w:r>
              <w:rPr>
                <w:rFonts w:hint="eastAsia"/>
                <w:color w:val="auto"/>
                <w:sz w:val="24"/>
                <w:szCs w:val="24"/>
                <w:highlight w:val="none"/>
                <w:lang w:eastAsia="zh-CN"/>
              </w:rPr>
              <w:t>报</w:t>
            </w:r>
            <w:r>
              <w:rPr>
                <w:rFonts w:hint="eastAsia"/>
                <w:color w:val="auto"/>
                <w:sz w:val="24"/>
                <w:szCs w:val="24"/>
                <w:highlight w:val="none"/>
              </w:rPr>
              <w:t>价</w:t>
            </w:r>
            <w:r>
              <w:rPr>
                <w:rFonts w:hint="eastAsia"/>
                <w:color w:val="auto"/>
                <w:sz w:val="24"/>
                <w:szCs w:val="24"/>
                <w:highlight w:val="none"/>
                <w:lang w:eastAsia="zh-CN"/>
              </w:rPr>
              <w:t>（</w:t>
            </w:r>
            <w:r>
              <w:rPr>
                <w:rFonts w:hint="eastAsia"/>
                <w:color w:val="auto"/>
                <w:sz w:val="24"/>
                <w:szCs w:val="24"/>
                <w:highlight w:val="none"/>
              </w:rPr>
              <w:t>人民币</w:t>
            </w:r>
            <w:r>
              <w:rPr>
                <w:rFonts w:hint="eastAsia"/>
                <w:color w:val="auto"/>
                <w:sz w:val="24"/>
                <w:szCs w:val="24"/>
                <w:highlight w:val="none"/>
                <w:lang w:eastAsia="zh-CN"/>
              </w:rPr>
              <w:t>）</w:t>
            </w:r>
            <w:r>
              <w:rPr>
                <w:rFonts w:hint="eastAsia"/>
                <w:color w:val="auto"/>
                <w:sz w:val="24"/>
                <w:szCs w:val="24"/>
                <w:highlight w:val="none"/>
              </w:rPr>
              <w:t xml:space="preserve">大写：                    </w:t>
            </w:r>
          </w:p>
          <w:p w14:paraId="4C9A8409">
            <w:pPr>
              <w:keepNext w:val="0"/>
              <w:keepLines w:val="0"/>
              <w:pageBreakBefore w:val="0"/>
              <w:widowControl w:val="0"/>
              <w:kinsoku/>
              <w:wordWrap/>
              <w:overflowPunct/>
              <w:topLinePunct w:val="0"/>
              <w:autoSpaceDE/>
              <w:autoSpaceDN/>
              <w:bidi w:val="0"/>
              <w:adjustRightInd/>
              <w:snapToGrid/>
              <w:spacing w:line="360" w:lineRule="auto"/>
              <w:ind w:firstLine="1920" w:firstLineChars="800"/>
              <w:jc w:val="both"/>
              <w:textAlignment w:val="auto"/>
              <w:rPr>
                <w:rFonts w:hint="eastAsia"/>
                <w:color w:val="auto"/>
                <w:sz w:val="24"/>
                <w:szCs w:val="24"/>
                <w:highlight w:val="none"/>
                <w:lang w:val="en-US" w:eastAsia="zh-CN"/>
              </w:rPr>
            </w:pPr>
            <w:r>
              <w:rPr>
                <w:rFonts w:hint="eastAsia"/>
                <w:color w:val="auto"/>
                <w:sz w:val="24"/>
                <w:szCs w:val="24"/>
                <w:highlight w:val="none"/>
                <w:lang w:eastAsia="zh-CN"/>
              </w:rPr>
              <w:t>小写：</w:t>
            </w:r>
            <w:r>
              <w:rPr>
                <w:rFonts w:hint="eastAsia"/>
                <w:color w:val="auto"/>
                <w:sz w:val="24"/>
                <w:szCs w:val="24"/>
                <w:highlight w:val="none"/>
              </w:rPr>
              <w:t>￥         元</w:t>
            </w:r>
          </w:p>
        </w:tc>
      </w:tr>
    </w:tbl>
    <w:p w14:paraId="799332DF">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注：1、所有价格以人民币表示，投标费用应包括</w:t>
      </w:r>
      <w:r>
        <w:rPr>
          <w:rFonts w:hint="eastAsia" w:ascii="宋体" w:hAnsi="宋体" w:eastAsia="宋体" w:cs="宋体"/>
          <w:color w:val="auto"/>
          <w:kern w:val="0"/>
          <w:sz w:val="24"/>
          <w:highlight w:val="none"/>
        </w:rPr>
        <w:t>一切设备费用、标准附件、线材、布线相关配件、线路、配件、辅件、安装、测试、存储、电费、软件开发、运维人员、改造费用、更新费用、视频监控线路传输费、设备电力接入费、软件费用、包装、劳务、管理、材料、维护、人工人力、服务器费用、备品备件、专用工具、运输、系统、系统集成、运行维护、基础电信服务、增值电信服务、装卸、保险、调试、培训、保修、维修、驻点人员费用、项目检测费、日常维护费、利润、税金等完成合同所需的一切本身和不可或缺的所有工作开支、政策性文件规定及合同包含的所有风险、责任等各项全部费用并由供应商承担一切</w:t>
      </w:r>
      <w:r>
        <w:rPr>
          <w:rFonts w:hint="eastAsia" w:ascii="宋体" w:hAnsi="宋体" w:eastAsia="宋体" w:cs="宋体"/>
          <w:color w:val="auto"/>
          <w:sz w:val="24"/>
          <w:highlight w:val="none"/>
          <w:lang w:eastAsia="zh-CN"/>
        </w:rPr>
        <w:t>；供应商在投标报价时，应综合考虑以上费用。</w:t>
      </w:r>
    </w:p>
    <w:p w14:paraId="651AB8FA">
      <w:pPr>
        <w:spacing w:line="360" w:lineRule="auto"/>
        <w:ind w:firstLine="480" w:firstLineChars="200"/>
        <w:rPr>
          <w:rFonts w:hint="eastAsia" w:ascii="宋体" w:hAnsi="宋体" w:eastAsia="宋体" w:cs="宋体"/>
          <w:color w:val="auto"/>
          <w:sz w:val="24"/>
          <w:highlight w:val="none"/>
          <w:lang w:eastAsia="zh-CN"/>
        </w:rPr>
      </w:pPr>
      <w:bookmarkStart w:id="281" w:name="_Toc7165"/>
      <w:bookmarkStart w:id="282" w:name="_Toc15363"/>
      <w:bookmarkStart w:id="283" w:name="_Toc24186"/>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若总价与单价不符，以单价为准。</w:t>
      </w:r>
      <w:bookmarkEnd w:id="281"/>
      <w:bookmarkEnd w:id="282"/>
      <w:bookmarkEnd w:id="283"/>
    </w:p>
    <w:p w14:paraId="30DABC40">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3、此表格若不够用，可根据实际自行扩展表格。</w:t>
      </w:r>
    </w:p>
    <w:p w14:paraId="5C9CAB20">
      <w:pPr>
        <w:pStyle w:val="41"/>
        <w:ind w:left="0" w:leftChars="0" w:firstLine="0" w:firstLineChars="0"/>
        <w:rPr>
          <w:rFonts w:hint="eastAsia" w:ascii="宋体" w:hAnsi="宋体" w:cs="宋体"/>
          <w:b/>
          <w:bCs/>
          <w:color w:val="auto"/>
          <w:sz w:val="24"/>
          <w:highlight w:val="none"/>
          <w:lang w:val="zh-CN"/>
        </w:rPr>
      </w:pPr>
    </w:p>
    <w:p w14:paraId="7369D5A2">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p>
    <w:p w14:paraId="72EE405A">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（签章）</w:t>
      </w:r>
    </w:p>
    <w:p w14:paraId="5B36244B">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8115EBF">
      <w:pPr>
        <w:pStyle w:val="4"/>
        <w:spacing w:before="0" w:after="0" w:line="360" w:lineRule="auto"/>
        <w:jc w:val="center"/>
        <w:outlineLvl w:val="9"/>
        <w:rPr>
          <w:rFonts w:hint="eastAsia" w:ascii="宋体" w:hAnsi="宋体" w:eastAsia="宋体" w:cs="宋体"/>
          <w:color w:val="auto"/>
          <w:sz w:val="28"/>
          <w:szCs w:val="24"/>
          <w:highlight w:val="none"/>
        </w:rPr>
      </w:pPr>
    </w:p>
    <w:p w14:paraId="68D87153">
      <w:pPr>
        <w:pStyle w:val="41"/>
        <w:ind w:left="0" w:leftChars="0" w:firstLine="0" w:firstLineChars="0"/>
        <w:rPr>
          <w:rFonts w:hint="eastAsia" w:ascii="宋体" w:hAnsi="宋体" w:cs="宋体"/>
          <w:b/>
          <w:bCs/>
          <w:color w:val="auto"/>
          <w:sz w:val="24"/>
          <w:highlight w:val="none"/>
          <w:lang w:val="zh-CN"/>
        </w:rPr>
      </w:pPr>
    </w:p>
    <w:p w14:paraId="5BBBB1DB">
      <w:pPr>
        <w:pStyle w:val="41"/>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附件</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lang w:val="zh-CN"/>
        </w:rPr>
        <w:t>技术参数偏离表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551"/>
        <w:gridCol w:w="1900"/>
        <w:gridCol w:w="1817"/>
        <w:gridCol w:w="1461"/>
        <w:gridCol w:w="1550"/>
      </w:tblGrid>
      <w:tr w14:paraId="33CE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5"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5D310FE7">
            <w:pPr>
              <w:spacing w:before="8"/>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序号</w:t>
            </w:r>
          </w:p>
        </w:tc>
        <w:tc>
          <w:tcPr>
            <w:tcW w:w="1551" w:type="dxa"/>
            <w:tcBorders>
              <w:top w:val="single" w:color="auto" w:sz="4" w:space="0"/>
              <w:left w:val="nil"/>
              <w:bottom w:val="single" w:color="auto" w:sz="4" w:space="0"/>
              <w:right w:val="single" w:color="auto" w:sz="4" w:space="0"/>
            </w:tcBorders>
            <w:noWrap w:val="0"/>
            <w:vAlign w:val="center"/>
          </w:tcPr>
          <w:p w14:paraId="08577AE2">
            <w:pPr>
              <w:spacing w:before="8"/>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名称</w:t>
            </w:r>
          </w:p>
        </w:tc>
        <w:tc>
          <w:tcPr>
            <w:tcW w:w="1900" w:type="dxa"/>
            <w:tcBorders>
              <w:top w:val="single" w:color="auto" w:sz="4" w:space="0"/>
              <w:left w:val="nil"/>
              <w:bottom w:val="single" w:color="auto" w:sz="4" w:space="0"/>
              <w:right w:val="single" w:color="auto" w:sz="4" w:space="0"/>
            </w:tcBorders>
            <w:noWrap w:val="0"/>
            <w:vAlign w:val="center"/>
          </w:tcPr>
          <w:p w14:paraId="2C6F6835">
            <w:pPr>
              <w:spacing w:before="8"/>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招标文件要求</w:t>
            </w:r>
          </w:p>
          <w:p w14:paraId="5B4055C5">
            <w:pPr>
              <w:spacing w:before="8"/>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技术参数、规格、型号</w:t>
            </w:r>
          </w:p>
        </w:tc>
        <w:tc>
          <w:tcPr>
            <w:tcW w:w="1817" w:type="dxa"/>
            <w:tcBorders>
              <w:top w:val="single" w:color="auto" w:sz="4" w:space="0"/>
              <w:left w:val="nil"/>
              <w:bottom w:val="single" w:color="auto" w:sz="4" w:space="0"/>
              <w:right w:val="single" w:color="auto" w:sz="4" w:space="0"/>
            </w:tcBorders>
            <w:noWrap w:val="0"/>
            <w:vAlign w:val="center"/>
          </w:tcPr>
          <w:p w14:paraId="22FE82E0">
            <w:pPr>
              <w:spacing w:before="8"/>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实际参数</w:t>
            </w:r>
          </w:p>
          <w:p w14:paraId="6C8AD43D">
            <w:pPr>
              <w:spacing w:before="8"/>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（应按投标/货物/服务实际数据填写）</w:t>
            </w:r>
          </w:p>
        </w:tc>
        <w:tc>
          <w:tcPr>
            <w:tcW w:w="1461" w:type="dxa"/>
            <w:tcBorders>
              <w:top w:val="single" w:color="auto" w:sz="4" w:space="0"/>
              <w:left w:val="nil"/>
              <w:bottom w:val="single" w:color="auto" w:sz="4" w:space="0"/>
              <w:right w:val="single" w:color="auto" w:sz="4" w:space="0"/>
            </w:tcBorders>
            <w:noWrap w:val="0"/>
            <w:vAlign w:val="center"/>
          </w:tcPr>
          <w:p w14:paraId="64B3E976">
            <w:pPr>
              <w:spacing w:before="8"/>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是否偏离（无偏离/正偏离/负偏离）</w:t>
            </w:r>
          </w:p>
        </w:tc>
        <w:tc>
          <w:tcPr>
            <w:tcW w:w="1550" w:type="dxa"/>
            <w:tcBorders>
              <w:top w:val="single" w:color="auto" w:sz="4" w:space="0"/>
              <w:left w:val="nil"/>
              <w:bottom w:val="single" w:color="auto" w:sz="4" w:space="0"/>
              <w:right w:val="single" w:color="auto" w:sz="4" w:space="0"/>
            </w:tcBorders>
            <w:noWrap w:val="0"/>
            <w:vAlign w:val="center"/>
          </w:tcPr>
          <w:p w14:paraId="039DEBB0">
            <w:pPr>
              <w:spacing w:before="8"/>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偏离</w:t>
            </w:r>
          </w:p>
          <w:p w14:paraId="30434AD2">
            <w:pPr>
              <w:spacing w:before="8"/>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简述</w:t>
            </w:r>
          </w:p>
        </w:tc>
      </w:tr>
      <w:tr w14:paraId="57D9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423D2CD6">
            <w:pPr>
              <w:spacing w:before="8"/>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1</w:t>
            </w:r>
          </w:p>
        </w:tc>
        <w:tc>
          <w:tcPr>
            <w:tcW w:w="1551" w:type="dxa"/>
            <w:tcBorders>
              <w:top w:val="single" w:color="auto" w:sz="4" w:space="0"/>
              <w:left w:val="nil"/>
              <w:bottom w:val="single" w:color="auto" w:sz="4" w:space="0"/>
              <w:right w:val="single" w:color="auto" w:sz="4" w:space="0"/>
            </w:tcBorders>
            <w:noWrap w:val="0"/>
            <w:vAlign w:val="center"/>
          </w:tcPr>
          <w:p w14:paraId="63A7574D">
            <w:pPr>
              <w:spacing w:before="8"/>
              <w:jc w:val="center"/>
              <w:rPr>
                <w:rFonts w:hint="eastAsia" w:ascii="宋体" w:hAnsi="宋体" w:eastAsia="宋体" w:cs="Times New Roman"/>
                <w:color w:val="auto"/>
                <w:sz w:val="24"/>
                <w:szCs w:val="24"/>
                <w:highlight w:val="none"/>
                <w:lang w:eastAsia="zh-CN"/>
              </w:rPr>
            </w:pPr>
          </w:p>
        </w:tc>
        <w:tc>
          <w:tcPr>
            <w:tcW w:w="1900" w:type="dxa"/>
            <w:tcBorders>
              <w:top w:val="single" w:color="auto" w:sz="4" w:space="0"/>
              <w:left w:val="nil"/>
              <w:bottom w:val="single" w:color="auto" w:sz="4" w:space="0"/>
              <w:right w:val="single" w:color="auto" w:sz="4" w:space="0"/>
            </w:tcBorders>
            <w:noWrap w:val="0"/>
            <w:vAlign w:val="center"/>
          </w:tcPr>
          <w:p w14:paraId="795C20A5">
            <w:pPr>
              <w:spacing w:before="8"/>
              <w:jc w:val="center"/>
              <w:rPr>
                <w:rFonts w:hint="eastAsia" w:ascii="宋体" w:hAnsi="宋体" w:eastAsia="宋体" w:cs="Times New Roman"/>
                <w:color w:val="auto"/>
                <w:sz w:val="24"/>
                <w:szCs w:val="24"/>
                <w:highlight w:val="none"/>
                <w:lang w:eastAsia="zh-CN"/>
              </w:rPr>
            </w:pPr>
          </w:p>
        </w:tc>
        <w:tc>
          <w:tcPr>
            <w:tcW w:w="1817" w:type="dxa"/>
            <w:tcBorders>
              <w:top w:val="single" w:color="auto" w:sz="4" w:space="0"/>
              <w:left w:val="nil"/>
              <w:bottom w:val="single" w:color="auto" w:sz="4" w:space="0"/>
              <w:right w:val="single" w:color="auto" w:sz="4" w:space="0"/>
            </w:tcBorders>
            <w:noWrap w:val="0"/>
            <w:vAlign w:val="center"/>
          </w:tcPr>
          <w:p w14:paraId="2DD4F1E3">
            <w:pPr>
              <w:spacing w:before="8"/>
              <w:jc w:val="center"/>
              <w:rPr>
                <w:rFonts w:hint="eastAsia" w:ascii="宋体" w:hAnsi="宋体" w:eastAsia="宋体" w:cs="Times New Roman"/>
                <w:color w:val="auto"/>
                <w:sz w:val="24"/>
                <w:szCs w:val="24"/>
                <w:highlight w:val="none"/>
                <w:lang w:eastAsia="zh-CN"/>
              </w:rPr>
            </w:pPr>
          </w:p>
        </w:tc>
        <w:tc>
          <w:tcPr>
            <w:tcW w:w="1461" w:type="dxa"/>
            <w:tcBorders>
              <w:top w:val="single" w:color="auto" w:sz="4" w:space="0"/>
              <w:left w:val="nil"/>
              <w:bottom w:val="single" w:color="auto" w:sz="4" w:space="0"/>
              <w:right w:val="single" w:color="auto" w:sz="4" w:space="0"/>
            </w:tcBorders>
            <w:noWrap w:val="0"/>
            <w:vAlign w:val="center"/>
          </w:tcPr>
          <w:p w14:paraId="49D52A4F">
            <w:pPr>
              <w:spacing w:before="8"/>
              <w:jc w:val="center"/>
              <w:rPr>
                <w:rFonts w:hint="eastAsia" w:ascii="宋体" w:hAnsi="宋体" w:eastAsia="宋体" w:cs="Times New Roman"/>
                <w:color w:val="auto"/>
                <w:sz w:val="24"/>
                <w:szCs w:val="24"/>
                <w:highlight w:val="none"/>
                <w:lang w:eastAsia="zh-CN"/>
              </w:rPr>
            </w:pPr>
          </w:p>
        </w:tc>
        <w:tc>
          <w:tcPr>
            <w:tcW w:w="1550" w:type="dxa"/>
            <w:tcBorders>
              <w:top w:val="single" w:color="auto" w:sz="4" w:space="0"/>
              <w:left w:val="nil"/>
              <w:bottom w:val="single" w:color="auto" w:sz="4" w:space="0"/>
              <w:right w:val="single" w:color="auto" w:sz="4" w:space="0"/>
            </w:tcBorders>
            <w:noWrap w:val="0"/>
            <w:vAlign w:val="center"/>
          </w:tcPr>
          <w:p w14:paraId="59D8DD85">
            <w:pPr>
              <w:spacing w:before="8"/>
              <w:jc w:val="center"/>
              <w:rPr>
                <w:rFonts w:hint="eastAsia" w:ascii="宋体" w:hAnsi="宋体" w:eastAsia="宋体" w:cs="Times New Roman"/>
                <w:color w:val="auto"/>
                <w:sz w:val="24"/>
                <w:szCs w:val="24"/>
                <w:highlight w:val="none"/>
                <w:lang w:eastAsia="zh-CN"/>
              </w:rPr>
            </w:pPr>
          </w:p>
        </w:tc>
      </w:tr>
      <w:tr w14:paraId="699D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72CBD9BD">
            <w:pPr>
              <w:spacing w:before="8"/>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2</w:t>
            </w:r>
          </w:p>
        </w:tc>
        <w:tc>
          <w:tcPr>
            <w:tcW w:w="1551" w:type="dxa"/>
            <w:tcBorders>
              <w:top w:val="single" w:color="auto" w:sz="4" w:space="0"/>
              <w:left w:val="nil"/>
              <w:bottom w:val="single" w:color="auto" w:sz="4" w:space="0"/>
              <w:right w:val="single" w:color="auto" w:sz="4" w:space="0"/>
            </w:tcBorders>
            <w:noWrap w:val="0"/>
            <w:vAlign w:val="center"/>
          </w:tcPr>
          <w:p w14:paraId="131339A7">
            <w:pPr>
              <w:spacing w:before="8"/>
              <w:jc w:val="center"/>
              <w:rPr>
                <w:rFonts w:hint="eastAsia" w:ascii="宋体" w:hAnsi="宋体" w:eastAsia="宋体" w:cs="Times New Roman"/>
                <w:color w:val="auto"/>
                <w:sz w:val="24"/>
                <w:szCs w:val="24"/>
                <w:highlight w:val="none"/>
                <w:lang w:eastAsia="zh-CN"/>
              </w:rPr>
            </w:pPr>
          </w:p>
        </w:tc>
        <w:tc>
          <w:tcPr>
            <w:tcW w:w="1900" w:type="dxa"/>
            <w:tcBorders>
              <w:top w:val="single" w:color="auto" w:sz="4" w:space="0"/>
              <w:left w:val="nil"/>
              <w:bottom w:val="single" w:color="auto" w:sz="4" w:space="0"/>
              <w:right w:val="single" w:color="auto" w:sz="4" w:space="0"/>
            </w:tcBorders>
            <w:noWrap w:val="0"/>
            <w:vAlign w:val="center"/>
          </w:tcPr>
          <w:p w14:paraId="138A2B99">
            <w:pPr>
              <w:spacing w:before="8"/>
              <w:jc w:val="center"/>
              <w:rPr>
                <w:rFonts w:hint="eastAsia" w:ascii="宋体" w:hAnsi="宋体" w:eastAsia="宋体" w:cs="Times New Roman"/>
                <w:color w:val="auto"/>
                <w:sz w:val="24"/>
                <w:szCs w:val="24"/>
                <w:highlight w:val="none"/>
                <w:lang w:eastAsia="zh-CN"/>
              </w:rPr>
            </w:pPr>
          </w:p>
        </w:tc>
        <w:tc>
          <w:tcPr>
            <w:tcW w:w="1817" w:type="dxa"/>
            <w:tcBorders>
              <w:top w:val="single" w:color="auto" w:sz="4" w:space="0"/>
              <w:left w:val="nil"/>
              <w:bottom w:val="single" w:color="auto" w:sz="4" w:space="0"/>
              <w:right w:val="single" w:color="auto" w:sz="4" w:space="0"/>
            </w:tcBorders>
            <w:noWrap w:val="0"/>
            <w:vAlign w:val="center"/>
          </w:tcPr>
          <w:p w14:paraId="4D643A45">
            <w:pPr>
              <w:spacing w:before="8"/>
              <w:jc w:val="center"/>
              <w:rPr>
                <w:rFonts w:hint="eastAsia" w:ascii="宋体" w:hAnsi="宋体" w:eastAsia="宋体" w:cs="Times New Roman"/>
                <w:color w:val="auto"/>
                <w:sz w:val="24"/>
                <w:szCs w:val="24"/>
                <w:highlight w:val="none"/>
                <w:lang w:eastAsia="zh-CN"/>
              </w:rPr>
            </w:pPr>
          </w:p>
        </w:tc>
        <w:tc>
          <w:tcPr>
            <w:tcW w:w="1461" w:type="dxa"/>
            <w:tcBorders>
              <w:top w:val="single" w:color="auto" w:sz="4" w:space="0"/>
              <w:left w:val="nil"/>
              <w:bottom w:val="single" w:color="auto" w:sz="4" w:space="0"/>
              <w:right w:val="single" w:color="auto" w:sz="4" w:space="0"/>
            </w:tcBorders>
            <w:noWrap w:val="0"/>
            <w:vAlign w:val="center"/>
          </w:tcPr>
          <w:p w14:paraId="1C194BD3">
            <w:pPr>
              <w:spacing w:before="8"/>
              <w:jc w:val="center"/>
              <w:rPr>
                <w:rFonts w:hint="eastAsia" w:ascii="宋体" w:hAnsi="宋体" w:eastAsia="宋体" w:cs="Times New Roman"/>
                <w:color w:val="auto"/>
                <w:sz w:val="24"/>
                <w:szCs w:val="24"/>
                <w:highlight w:val="none"/>
                <w:lang w:eastAsia="zh-CN"/>
              </w:rPr>
            </w:pPr>
          </w:p>
        </w:tc>
        <w:tc>
          <w:tcPr>
            <w:tcW w:w="1550" w:type="dxa"/>
            <w:tcBorders>
              <w:top w:val="single" w:color="auto" w:sz="4" w:space="0"/>
              <w:left w:val="nil"/>
              <w:bottom w:val="single" w:color="auto" w:sz="4" w:space="0"/>
              <w:right w:val="single" w:color="auto" w:sz="4" w:space="0"/>
            </w:tcBorders>
            <w:noWrap w:val="0"/>
            <w:vAlign w:val="center"/>
          </w:tcPr>
          <w:p w14:paraId="756EAB69">
            <w:pPr>
              <w:spacing w:before="8"/>
              <w:jc w:val="center"/>
              <w:rPr>
                <w:rFonts w:hint="eastAsia" w:ascii="宋体" w:hAnsi="宋体" w:eastAsia="宋体" w:cs="Times New Roman"/>
                <w:color w:val="auto"/>
                <w:sz w:val="24"/>
                <w:szCs w:val="24"/>
                <w:highlight w:val="none"/>
                <w:lang w:eastAsia="zh-CN"/>
              </w:rPr>
            </w:pPr>
          </w:p>
        </w:tc>
      </w:tr>
      <w:tr w14:paraId="28DB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0941F7F4">
            <w:pPr>
              <w:spacing w:before="8"/>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w:t>
            </w:r>
          </w:p>
        </w:tc>
        <w:tc>
          <w:tcPr>
            <w:tcW w:w="1551" w:type="dxa"/>
            <w:tcBorders>
              <w:top w:val="single" w:color="auto" w:sz="4" w:space="0"/>
              <w:left w:val="nil"/>
              <w:bottom w:val="single" w:color="auto" w:sz="4" w:space="0"/>
              <w:right w:val="single" w:color="auto" w:sz="4" w:space="0"/>
            </w:tcBorders>
            <w:noWrap w:val="0"/>
            <w:vAlign w:val="center"/>
          </w:tcPr>
          <w:p w14:paraId="05B2579D">
            <w:pPr>
              <w:spacing w:before="8"/>
              <w:jc w:val="center"/>
              <w:rPr>
                <w:rFonts w:hint="eastAsia" w:ascii="宋体" w:hAnsi="宋体" w:eastAsia="宋体" w:cs="Times New Roman"/>
                <w:color w:val="auto"/>
                <w:sz w:val="24"/>
                <w:szCs w:val="24"/>
                <w:highlight w:val="none"/>
                <w:lang w:eastAsia="zh-CN"/>
              </w:rPr>
            </w:pPr>
          </w:p>
        </w:tc>
        <w:tc>
          <w:tcPr>
            <w:tcW w:w="1900" w:type="dxa"/>
            <w:tcBorders>
              <w:top w:val="single" w:color="auto" w:sz="4" w:space="0"/>
              <w:left w:val="nil"/>
              <w:bottom w:val="single" w:color="auto" w:sz="4" w:space="0"/>
              <w:right w:val="single" w:color="auto" w:sz="4" w:space="0"/>
            </w:tcBorders>
            <w:noWrap w:val="0"/>
            <w:vAlign w:val="center"/>
          </w:tcPr>
          <w:p w14:paraId="536B5D5D">
            <w:pPr>
              <w:spacing w:before="8"/>
              <w:jc w:val="center"/>
              <w:rPr>
                <w:rFonts w:hint="eastAsia" w:ascii="宋体" w:hAnsi="宋体" w:eastAsia="宋体" w:cs="Times New Roman"/>
                <w:color w:val="auto"/>
                <w:sz w:val="24"/>
                <w:szCs w:val="24"/>
                <w:highlight w:val="none"/>
                <w:lang w:eastAsia="zh-CN"/>
              </w:rPr>
            </w:pPr>
          </w:p>
        </w:tc>
        <w:tc>
          <w:tcPr>
            <w:tcW w:w="1817" w:type="dxa"/>
            <w:tcBorders>
              <w:top w:val="single" w:color="auto" w:sz="4" w:space="0"/>
              <w:left w:val="nil"/>
              <w:bottom w:val="single" w:color="auto" w:sz="4" w:space="0"/>
              <w:right w:val="single" w:color="auto" w:sz="4" w:space="0"/>
            </w:tcBorders>
            <w:noWrap w:val="0"/>
            <w:vAlign w:val="center"/>
          </w:tcPr>
          <w:p w14:paraId="2661696A">
            <w:pPr>
              <w:spacing w:before="8"/>
              <w:jc w:val="center"/>
              <w:rPr>
                <w:rFonts w:hint="eastAsia" w:ascii="宋体" w:hAnsi="宋体" w:eastAsia="宋体" w:cs="Times New Roman"/>
                <w:color w:val="auto"/>
                <w:sz w:val="24"/>
                <w:szCs w:val="24"/>
                <w:highlight w:val="none"/>
                <w:lang w:eastAsia="zh-CN"/>
              </w:rPr>
            </w:pPr>
          </w:p>
        </w:tc>
        <w:tc>
          <w:tcPr>
            <w:tcW w:w="1461" w:type="dxa"/>
            <w:tcBorders>
              <w:top w:val="single" w:color="auto" w:sz="4" w:space="0"/>
              <w:left w:val="nil"/>
              <w:bottom w:val="single" w:color="auto" w:sz="4" w:space="0"/>
              <w:right w:val="single" w:color="auto" w:sz="4" w:space="0"/>
            </w:tcBorders>
            <w:noWrap w:val="0"/>
            <w:vAlign w:val="center"/>
          </w:tcPr>
          <w:p w14:paraId="549C132C">
            <w:pPr>
              <w:spacing w:before="8"/>
              <w:jc w:val="center"/>
              <w:rPr>
                <w:rFonts w:hint="eastAsia" w:ascii="宋体" w:hAnsi="宋体" w:eastAsia="宋体" w:cs="Times New Roman"/>
                <w:color w:val="auto"/>
                <w:sz w:val="24"/>
                <w:szCs w:val="24"/>
                <w:highlight w:val="none"/>
                <w:lang w:eastAsia="zh-CN"/>
              </w:rPr>
            </w:pPr>
          </w:p>
        </w:tc>
        <w:tc>
          <w:tcPr>
            <w:tcW w:w="1550" w:type="dxa"/>
            <w:tcBorders>
              <w:top w:val="single" w:color="auto" w:sz="4" w:space="0"/>
              <w:left w:val="nil"/>
              <w:bottom w:val="single" w:color="auto" w:sz="4" w:space="0"/>
              <w:right w:val="single" w:color="auto" w:sz="4" w:space="0"/>
            </w:tcBorders>
            <w:noWrap w:val="0"/>
            <w:vAlign w:val="center"/>
          </w:tcPr>
          <w:p w14:paraId="42267DB4">
            <w:pPr>
              <w:spacing w:before="8"/>
              <w:jc w:val="center"/>
              <w:rPr>
                <w:rFonts w:hint="eastAsia" w:ascii="宋体" w:hAnsi="宋体" w:eastAsia="宋体" w:cs="Times New Roman"/>
                <w:color w:val="auto"/>
                <w:sz w:val="24"/>
                <w:szCs w:val="24"/>
                <w:highlight w:val="none"/>
                <w:lang w:eastAsia="zh-CN"/>
              </w:rPr>
            </w:pPr>
          </w:p>
        </w:tc>
      </w:tr>
      <w:tr w14:paraId="1B68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1ADEB196">
            <w:pPr>
              <w:spacing w:before="8"/>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w:t>
            </w:r>
          </w:p>
        </w:tc>
        <w:tc>
          <w:tcPr>
            <w:tcW w:w="1551" w:type="dxa"/>
            <w:tcBorders>
              <w:top w:val="single" w:color="auto" w:sz="4" w:space="0"/>
              <w:left w:val="nil"/>
              <w:bottom w:val="single" w:color="auto" w:sz="4" w:space="0"/>
              <w:right w:val="single" w:color="auto" w:sz="4" w:space="0"/>
            </w:tcBorders>
            <w:noWrap w:val="0"/>
            <w:vAlign w:val="center"/>
          </w:tcPr>
          <w:p w14:paraId="40C5520F">
            <w:pPr>
              <w:spacing w:before="8"/>
              <w:jc w:val="center"/>
              <w:rPr>
                <w:rFonts w:hint="eastAsia" w:ascii="宋体" w:hAnsi="宋体" w:eastAsia="宋体" w:cs="Times New Roman"/>
                <w:color w:val="auto"/>
                <w:sz w:val="24"/>
                <w:szCs w:val="24"/>
                <w:highlight w:val="none"/>
                <w:lang w:eastAsia="zh-CN"/>
              </w:rPr>
            </w:pPr>
          </w:p>
        </w:tc>
        <w:tc>
          <w:tcPr>
            <w:tcW w:w="1900" w:type="dxa"/>
            <w:tcBorders>
              <w:top w:val="single" w:color="auto" w:sz="4" w:space="0"/>
              <w:left w:val="nil"/>
              <w:bottom w:val="single" w:color="auto" w:sz="4" w:space="0"/>
              <w:right w:val="single" w:color="auto" w:sz="4" w:space="0"/>
            </w:tcBorders>
            <w:noWrap w:val="0"/>
            <w:vAlign w:val="center"/>
          </w:tcPr>
          <w:p w14:paraId="12F8CA96">
            <w:pPr>
              <w:spacing w:before="8"/>
              <w:jc w:val="center"/>
              <w:rPr>
                <w:rFonts w:hint="eastAsia" w:ascii="宋体" w:hAnsi="宋体" w:eastAsia="宋体" w:cs="Times New Roman"/>
                <w:color w:val="auto"/>
                <w:sz w:val="24"/>
                <w:szCs w:val="24"/>
                <w:highlight w:val="none"/>
                <w:lang w:eastAsia="zh-CN"/>
              </w:rPr>
            </w:pPr>
          </w:p>
        </w:tc>
        <w:tc>
          <w:tcPr>
            <w:tcW w:w="1817" w:type="dxa"/>
            <w:tcBorders>
              <w:top w:val="single" w:color="auto" w:sz="4" w:space="0"/>
              <w:left w:val="nil"/>
              <w:bottom w:val="single" w:color="auto" w:sz="4" w:space="0"/>
              <w:right w:val="single" w:color="auto" w:sz="4" w:space="0"/>
            </w:tcBorders>
            <w:noWrap w:val="0"/>
            <w:vAlign w:val="center"/>
          </w:tcPr>
          <w:p w14:paraId="6B3EBFF3">
            <w:pPr>
              <w:spacing w:before="8"/>
              <w:jc w:val="center"/>
              <w:rPr>
                <w:rFonts w:hint="eastAsia" w:ascii="宋体" w:hAnsi="宋体" w:eastAsia="宋体" w:cs="Times New Roman"/>
                <w:color w:val="auto"/>
                <w:sz w:val="24"/>
                <w:szCs w:val="24"/>
                <w:highlight w:val="none"/>
                <w:lang w:eastAsia="zh-CN"/>
              </w:rPr>
            </w:pPr>
          </w:p>
        </w:tc>
        <w:tc>
          <w:tcPr>
            <w:tcW w:w="1461" w:type="dxa"/>
            <w:tcBorders>
              <w:top w:val="single" w:color="auto" w:sz="4" w:space="0"/>
              <w:left w:val="nil"/>
              <w:bottom w:val="single" w:color="auto" w:sz="4" w:space="0"/>
              <w:right w:val="single" w:color="auto" w:sz="4" w:space="0"/>
            </w:tcBorders>
            <w:noWrap w:val="0"/>
            <w:vAlign w:val="center"/>
          </w:tcPr>
          <w:p w14:paraId="50CA36C6">
            <w:pPr>
              <w:spacing w:before="8"/>
              <w:jc w:val="center"/>
              <w:rPr>
                <w:rFonts w:hint="eastAsia" w:ascii="宋体" w:hAnsi="宋体" w:eastAsia="宋体" w:cs="Times New Roman"/>
                <w:color w:val="auto"/>
                <w:sz w:val="24"/>
                <w:szCs w:val="24"/>
                <w:highlight w:val="none"/>
                <w:lang w:eastAsia="zh-CN"/>
              </w:rPr>
            </w:pPr>
          </w:p>
        </w:tc>
        <w:tc>
          <w:tcPr>
            <w:tcW w:w="1550" w:type="dxa"/>
            <w:tcBorders>
              <w:top w:val="single" w:color="auto" w:sz="4" w:space="0"/>
              <w:left w:val="nil"/>
              <w:bottom w:val="single" w:color="auto" w:sz="4" w:space="0"/>
              <w:right w:val="single" w:color="auto" w:sz="4" w:space="0"/>
            </w:tcBorders>
            <w:noWrap w:val="0"/>
            <w:vAlign w:val="center"/>
          </w:tcPr>
          <w:p w14:paraId="2C9BB223">
            <w:pPr>
              <w:spacing w:before="8"/>
              <w:jc w:val="center"/>
              <w:rPr>
                <w:rFonts w:hint="eastAsia" w:ascii="宋体" w:hAnsi="宋体" w:eastAsia="宋体" w:cs="Times New Roman"/>
                <w:color w:val="auto"/>
                <w:sz w:val="24"/>
                <w:szCs w:val="24"/>
                <w:highlight w:val="none"/>
                <w:lang w:eastAsia="zh-CN"/>
              </w:rPr>
            </w:pPr>
          </w:p>
        </w:tc>
      </w:tr>
      <w:tr w14:paraId="245A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1A792FB8">
            <w:pPr>
              <w:spacing w:before="8"/>
              <w:jc w:val="center"/>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w:t>
            </w:r>
          </w:p>
        </w:tc>
        <w:tc>
          <w:tcPr>
            <w:tcW w:w="1551" w:type="dxa"/>
            <w:tcBorders>
              <w:top w:val="single" w:color="auto" w:sz="4" w:space="0"/>
              <w:left w:val="nil"/>
              <w:bottom w:val="single" w:color="auto" w:sz="4" w:space="0"/>
              <w:right w:val="single" w:color="auto" w:sz="4" w:space="0"/>
            </w:tcBorders>
            <w:noWrap w:val="0"/>
            <w:vAlign w:val="center"/>
          </w:tcPr>
          <w:p w14:paraId="43883060">
            <w:pPr>
              <w:spacing w:before="8"/>
              <w:jc w:val="center"/>
              <w:rPr>
                <w:rFonts w:hint="eastAsia" w:ascii="宋体" w:hAnsi="宋体" w:eastAsia="宋体" w:cs="Times New Roman"/>
                <w:color w:val="auto"/>
                <w:sz w:val="24"/>
                <w:szCs w:val="24"/>
                <w:highlight w:val="none"/>
                <w:lang w:eastAsia="zh-CN"/>
              </w:rPr>
            </w:pPr>
          </w:p>
        </w:tc>
        <w:tc>
          <w:tcPr>
            <w:tcW w:w="1900" w:type="dxa"/>
            <w:tcBorders>
              <w:top w:val="single" w:color="auto" w:sz="4" w:space="0"/>
              <w:left w:val="nil"/>
              <w:bottom w:val="single" w:color="auto" w:sz="4" w:space="0"/>
              <w:right w:val="single" w:color="auto" w:sz="4" w:space="0"/>
            </w:tcBorders>
            <w:noWrap w:val="0"/>
            <w:vAlign w:val="center"/>
          </w:tcPr>
          <w:p w14:paraId="2DD3DCC3">
            <w:pPr>
              <w:spacing w:before="8"/>
              <w:jc w:val="center"/>
              <w:rPr>
                <w:rFonts w:hint="eastAsia" w:ascii="宋体" w:hAnsi="宋体" w:eastAsia="宋体" w:cs="Times New Roman"/>
                <w:color w:val="auto"/>
                <w:sz w:val="24"/>
                <w:szCs w:val="24"/>
                <w:highlight w:val="none"/>
                <w:lang w:eastAsia="zh-CN"/>
              </w:rPr>
            </w:pPr>
          </w:p>
        </w:tc>
        <w:tc>
          <w:tcPr>
            <w:tcW w:w="1817" w:type="dxa"/>
            <w:tcBorders>
              <w:top w:val="single" w:color="auto" w:sz="4" w:space="0"/>
              <w:left w:val="nil"/>
              <w:bottom w:val="single" w:color="auto" w:sz="4" w:space="0"/>
              <w:right w:val="single" w:color="auto" w:sz="4" w:space="0"/>
            </w:tcBorders>
            <w:noWrap w:val="0"/>
            <w:vAlign w:val="center"/>
          </w:tcPr>
          <w:p w14:paraId="0088C0FA">
            <w:pPr>
              <w:spacing w:before="8"/>
              <w:jc w:val="center"/>
              <w:rPr>
                <w:rFonts w:hint="eastAsia" w:ascii="宋体" w:hAnsi="宋体" w:eastAsia="宋体" w:cs="Times New Roman"/>
                <w:color w:val="auto"/>
                <w:sz w:val="24"/>
                <w:szCs w:val="24"/>
                <w:highlight w:val="none"/>
                <w:lang w:eastAsia="zh-CN"/>
              </w:rPr>
            </w:pPr>
          </w:p>
        </w:tc>
        <w:tc>
          <w:tcPr>
            <w:tcW w:w="1461" w:type="dxa"/>
            <w:tcBorders>
              <w:top w:val="single" w:color="auto" w:sz="4" w:space="0"/>
              <w:left w:val="nil"/>
              <w:bottom w:val="single" w:color="auto" w:sz="4" w:space="0"/>
              <w:right w:val="single" w:color="auto" w:sz="4" w:space="0"/>
            </w:tcBorders>
            <w:noWrap w:val="0"/>
            <w:vAlign w:val="center"/>
          </w:tcPr>
          <w:p w14:paraId="482C9BB9">
            <w:pPr>
              <w:spacing w:before="8"/>
              <w:jc w:val="center"/>
              <w:rPr>
                <w:rFonts w:hint="eastAsia" w:ascii="宋体" w:hAnsi="宋体" w:eastAsia="宋体" w:cs="Times New Roman"/>
                <w:color w:val="auto"/>
                <w:sz w:val="24"/>
                <w:szCs w:val="24"/>
                <w:highlight w:val="none"/>
                <w:lang w:eastAsia="zh-CN"/>
              </w:rPr>
            </w:pPr>
          </w:p>
        </w:tc>
        <w:tc>
          <w:tcPr>
            <w:tcW w:w="1550" w:type="dxa"/>
            <w:tcBorders>
              <w:top w:val="single" w:color="auto" w:sz="4" w:space="0"/>
              <w:left w:val="nil"/>
              <w:bottom w:val="single" w:color="auto" w:sz="4" w:space="0"/>
              <w:right w:val="single" w:color="auto" w:sz="4" w:space="0"/>
            </w:tcBorders>
            <w:noWrap w:val="0"/>
            <w:vAlign w:val="center"/>
          </w:tcPr>
          <w:p w14:paraId="7DF0418B">
            <w:pPr>
              <w:spacing w:before="8"/>
              <w:jc w:val="center"/>
              <w:rPr>
                <w:rFonts w:hint="eastAsia" w:ascii="宋体" w:hAnsi="宋体" w:eastAsia="宋体" w:cs="Times New Roman"/>
                <w:color w:val="auto"/>
                <w:sz w:val="24"/>
                <w:szCs w:val="24"/>
                <w:highlight w:val="none"/>
                <w:lang w:eastAsia="zh-CN"/>
              </w:rPr>
            </w:pPr>
          </w:p>
        </w:tc>
      </w:tr>
    </w:tbl>
    <w:p w14:paraId="1EDA8907">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firstLine="240" w:firstLineChars="100"/>
        <w:textAlignment w:val="auto"/>
        <w:rPr>
          <w:rFonts w:hint="eastAsia" w:cs="宋体"/>
          <w:color w:val="auto"/>
          <w:highlight w:val="none"/>
        </w:rPr>
      </w:pPr>
      <w:r>
        <w:rPr>
          <w:rFonts w:hint="eastAsia" w:cs="宋体"/>
          <w:color w:val="auto"/>
          <w:highlight w:val="none"/>
        </w:rPr>
        <w:t>（注：</w:t>
      </w:r>
      <w:r>
        <w:rPr>
          <w:rFonts w:hint="eastAsia" w:cs="宋体"/>
          <w:color w:val="auto"/>
          <w:highlight w:val="none"/>
          <w:lang w:eastAsia="zh-CN"/>
        </w:rPr>
        <w:t>投标人</w:t>
      </w:r>
      <w:r>
        <w:rPr>
          <w:rFonts w:hint="eastAsia" w:cs="宋体"/>
          <w:color w:val="auto"/>
          <w:highlight w:val="none"/>
        </w:rPr>
        <w:t>应根据</w:t>
      </w:r>
      <w:r>
        <w:rPr>
          <w:rFonts w:hint="eastAsia" w:cs="宋体"/>
          <w:color w:val="auto"/>
          <w:highlight w:val="none"/>
          <w:lang w:eastAsia="zh-CN"/>
        </w:rPr>
        <w:t>招标文件中</w:t>
      </w:r>
      <w:r>
        <w:rPr>
          <w:rFonts w:hint="eastAsia" w:cs="宋体"/>
          <w:color w:val="auto"/>
          <w:highlight w:val="none"/>
        </w:rPr>
        <w:t>设备的技术参数对照</w:t>
      </w:r>
      <w:r>
        <w:rPr>
          <w:rFonts w:hint="eastAsia" w:cs="宋体"/>
          <w:color w:val="auto"/>
          <w:highlight w:val="none"/>
          <w:lang w:eastAsia="zh-CN"/>
        </w:rPr>
        <w:t>招标</w:t>
      </w:r>
      <w:r>
        <w:rPr>
          <w:rFonts w:hint="eastAsia" w:cs="宋体"/>
          <w:color w:val="auto"/>
          <w:highlight w:val="none"/>
        </w:rPr>
        <w:t>文件要求对比偏离情况，此表格若不够用，可根据实际自行扩展表格。）</w:t>
      </w:r>
    </w:p>
    <w:p w14:paraId="5E523A3F">
      <w:pPr>
        <w:widowControl/>
        <w:adjustRightInd w:val="0"/>
        <w:spacing w:line="240" w:lineRule="auto"/>
        <w:ind w:firstLine="2623" w:firstLineChars="1093"/>
        <w:jc w:val="left"/>
        <w:rPr>
          <w:rFonts w:hint="eastAsia" w:ascii="宋体" w:hAnsi="宋体" w:eastAsia="宋体" w:cs="宋体"/>
          <w:color w:val="auto"/>
          <w:kern w:val="0"/>
          <w:sz w:val="24"/>
          <w:highlight w:val="none"/>
        </w:rPr>
      </w:pPr>
      <w:bookmarkStart w:id="284" w:name="_Toc522085805"/>
      <w:bookmarkEnd w:id="284"/>
      <w:bookmarkStart w:id="285" w:name="_Toc10504_WPSOffice_Level1"/>
      <w:bookmarkEnd w:id="285"/>
      <w:bookmarkStart w:id="286" w:name="_Toc465990926"/>
      <w:bookmarkEnd w:id="286"/>
      <w:bookmarkStart w:id="287" w:name="_Toc497301910"/>
      <w:bookmarkEnd w:id="287"/>
      <w:bookmarkStart w:id="288" w:name="_Toc522798781"/>
      <w:bookmarkEnd w:id="288"/>
      <w:bookmarkStart w:id="289" w:name="_Toc521998009"/>
      <w:bookmarkEnd w:id="289"/>
      <w:bookmarkStart w:id="290" w:name="_Toc522798871"/>
      <w:bookmarkEnd w:id="290"/>
      <w:bookmarkStart w:id="291" w:name="_Toc14118_WPSOffice_Level1"/>
      <w:bookmarkEnd w:id="291"/>
    </w:p>
    <w:p w14:paraId="5D9FCE0F">
      <w:pPr>
        <w:widowControl/>
        <w:adjustRightInd w:val="0"/>
        <w:spacing w:line="240" w:lineRule="auto"/>
        <w:ind w:firstLine="3103" w:firstLineChars="1293"/>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投 标 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盖单位</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r>
        <w:rPr>
          <w:rFonts w:hint="eastAsia" w:ascii="宋体" w:hAnsi="宋体" w:eastAsia="宋体" w:cs="宋体"/>
          <w:color w:val="auto"/>
          <w:kern w:val="0"/>
          <w:sz w:val="24"/>
          <w:highlight w:val="none"/>
        </w:rPr>
        <w:t>）</w:t>
      </w:r>
    </w:p>
    <w:p w14:paraId="53A61E37">
      <w:pPr>
        <w:widowControl/>
        <w:adjustRightInd w:val="0"/>
        <w:spacing w:line="240" w:lineRule="auto"/>
        <w:ind w:firstLine="2623" w:firstLineChars="1093"/>
        <w:jc w:val="left"/>
        <w:rPr>
          <w:rFonts w:hint="eastAsia" w:ascii="宋体" w:hAnsi="宋体" w:eastAsia="宋体" w:cs="宋体"/>
          <w:color w:val="auto"/>
          <w:kern w:val="0"/>
          <w:sz w:val="24"/>
          <w:highlight w:val="none"/>
        </w:rPr>
      </w:pPr>
    </w:p>
    <w:p w14:paraId="12C4B7DD">
      <w:pPr>
        <w:widowControl/>
        <w:adjustRightInd w:val="0"/>
        <w:spacing w:line="240" w:lineRule="auto"/>
        <w:ind w:firstLine="2623" w:firstLineChars="1093"/>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法定代表人：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（签章）</w:t>
      </w:r>
    </w:p>
    <w:p w14:paraId="36CC16CD">
      <w:pPr>
        <w:widowControl/>
        <w:adjustRightInd w:val="0"/>
        <w:spacing w:line="240" w:lineRule="exact"/>
        <w:jc w:val="left"/>
        <w:rPr>
          <w:rFonts w:hint="eastAsia" w:ascii="宋体" w:hAnsi="宋体" w:eastAsia="宋体" w:cs="宋体"/>
          <w:color w:val="auto"/>
          <w:kern w:val="0"/>
          <w:sz w:val="24"/>
          <w:highlight w:val="none"/>
        </w:rPr>
      </w:pPr>
    </w:p>
    <w:p w14:paraId="46B1952E">
      <w:pPr>
        <w:pStyle w:val="4"/>
        <w:spacing w:before="0" w:after="0" w:line="360" w:lineRule="auto"/>
        <w:jc w:val="center"/>
        <w:outlineLvl w:val="1"/>
        <w:rPr>
          <w:rFonts w:hint="eastAsia" w:ascii="宋体" w:hAnsi="宋体" w:eastAsia="宋体" w:cs="宋体"/>
          <w:color w:val="auto"/>
          <w:sz w:val="32"/>
          <w:szCs w:val="28"/>
          <w:highlight w:val="none"/>
        </w:rPr>
      </w:pPr>
      <w:r>
        <w:rPr>
          <w:rFonts w:hint="eastAsia" w:ascii="宋体" w:hAnsi="宋体" w:eastAsia="宋体" w:cs="宋体"/>
          <w:color w:val="auto"/>
          <w:kern w:val="0"/>
          <w:sz w:val="24"/>
          <w:highlight w:val="none"/>
        </w:rPr>
        <w:t xml:space="preserve">                                     </w:t>
      </w:r>
    </w:p>
    <w:p w14:paraId="1B3CCD2E">
      <w:pPr>
        <w:pStyle w:val="4"/>
        <w:spacing w:before="0" w:after="0" w:line="360" w:lineRule="auto"/>
        <w:jc w:val="center"/>
        <w:outlineLvl w:val="1"/>
        <w:rPr>
          <w:rFonts w:hint="eastAsia" w:ascii="宋体" w:hAnsi="宋体" w:eastAsia="宋体" w:cs="宋体"/>
          <w:color w:val="auto"/>
          <w:sz w:val="32"/>
          <w:szCs w:val="28"/>
          <w:highlight w:val="none"/>
        </w:rPr>
      </w:pPr>
    </w:p>
    <w:p w14:paraId="77A88243">
      <w:pPr>
        <w:pStyle w:val="41"/>
        <w:rPr>
          <w:rFonts w:hint="eastAsia" w:ascii="宋体" w:hAnsi="宋体" w:cs="宋体"/>
          <w:b/>
          <w:bCs/>
          <w:color w:val="auto"/>
          <w:sz w:val="24"/>
          <w:highlight w:val="none"/>
          <w:lang w:val="zh-CN"/>
        </w:rPr>
      </w:pPr>
    </w:p>
    <w:p w14:paraId="50A275F9">
      <w:pPr>
        <w:pStyle w:val="41"/>
        <w:rPr>
          <w:rFonts w:hint="eastAsia" w:ascii="宋体" w:hAnsi="宋体" w:cs="宋体"/>
          <w:b/>
          <w:bCs/>
          <w:color w:val="auto"/>
          <w:sz w:val="24"/>
          <w:highlight w:val="none"/>
          <w:lang w:val="zh-CN"/>
        </w:rPr>
      </w:pPr>
    </w:p>
    <w:p w14:paraId="3BDD886B">
      <w:pPr>
        <w:pStyle w:val="41"/>
        <w:rPr>
          <w:rFonts w:hint="eastAsia" w:ascii="宋体" w:hAnsi="宋体" w:cs="宋体"/>
          <w:b/>
          <w:bCs/>
          <w:color w:val="auto"/>
          <w:sz w:val="24"/>
          <w:highlight w:val="none"/>
          <w:lang w:val="zh-CN"/>
        </w:rPr>
      </w:pPr>
    </w:p>
    <w:p w14:paraId="3C15E23D">
      <w:pPr>
        <w:pStyle w:val="41"/>
        <w:rPr>
          <w:rFonts w:hint="eastAsia" w:ascii="宋体" w:hAnsi="宋体" w:cs="宋体"/>
          <w:b/>
          <w:bCs/>
          <w:color w:val="auto"/>
          <w:sz w:val="24"/>
          <w:highlight w:val="none"/>
          <w:lang w:val="zh-CN"/>
        </w:rPr>
      </w:pPr>
    </w:p>
    <w:p w14:paraId="5C2A6A6B">
      <w:pPr>
        <w:pStyle w:val="41"/>
        <w:rPr>
          <w:rFonts w:hint="eastAsia" w:ascii="宋体" w:hAnsi="宋体" w:cs="宋体"/>
          <w:b/>
          <w:bCs/>
          <w:color w:val="auto"/>
          <w:sz w:val="24"/>
          <w:highlight w:val="none"/>
          <w:lang w:val="zh-CN"/>
        </w:rPr>
      </w:pPr>
    </w:p>
    <w:p w14:paraId="78DEB48F">
      <w:pPr>
        <w:pStyle w:val="41"/>
        <w:rPr>
          <w:rFonts w:hint="eastAsia" w:ascii="宋体" w:hAnsi="宋体" w:cs="宋体"/>
          <w:b/>
          <w:bCs/>
          <w:color w:val="auto"/>
          <w:sz w:val="24"/>
          <w:highlight w:val="none"/>
          <w:lang w:val="zh-CN"/>
        </w:rPr>
      </w:pPr>
    </w:p>
    <w:p w14:paraId="2E741D85">
      <w:pPr>
        <w:pStyle w:val="41"/>
        <w:rPr>
          <w:rFonts w:hint="eastAsia" w:ascii="宋体" w:hAnsi="宋体" w:cs="宋体"/>
          <w:b/>
          <w:bCs/>
          <w:color w:val="auto"/>
          <w:sz w:val="24"/>
          <w:highlight w:val="none"/>
          <w:lang w:val="zh-CN"/>
        </w:rPr>
      </w:pPr>
    </w:p>
    <w:p w14:paraId="730521BF">
      <w:pPr>
        <w:pStyle w:val="41"/>
        <w:rPr>
          <w:rFonts w:hint="eastAsia" w:ascii="宋体" w:hAnsi="宋体" w:cs="宋体"/>
          <w:b/>
          <w:bCs/>
          <w:color w:val="auto"/>
          <w:sz w:val="24"/>
          <w:highlight w:val="none"/>
          <w:lang w:val="zh-CN"/>
        </w:rPr>
      </w:pPr>
    </w:p>
    <w:p w14:paraId="25CB2C45">
      <w:pPr>
        <w:pStyle w:val="41"/>
        <w:ind w:left="0" w:leftChars="0" w:firstLine="0" w:firstLineChars="0"/>
        <w:rPr>
          <w:rFonts w:hint="eastAsia" w:ascii="宋体" w:hAnsi="宋体" w:cs="宋体"/>
          <w:b/>
          <w:bCs/>
          <w:color w:val="auto"/>
          <w:sz w:val="24"/>
          <w:highlight w:val="none"/>
          <w:lang w:val="zh-CN"/>
        </w:rPr>
      </w:pPr>
    </w:p>
    <w:p w14:paraId="3A2653E1">
      <w:pPr>
        <w:pStyle w:val="41"/>
        <w:rPr>
          <w:rFonts w:hint="eastAsia" w:ascii="宋体" w:hAnsi="宋体" w:cs="宋体"/>
          <w:b/>
          <w:bCs/>
          <w:color w:val="auto"/>
          <w:sz w:val="24"/>
          <w:highlight w:val="none"/>
          <w:lang w:val="zh-CN"/>
        </w:rPr>
      </w:pPr>
      <w:r>
        <w:rPr>
          <w:rFonts w:hint="eastAsia" w:ascii="宋体" w:hAnsi="宋体" w:cs="宋体"/>
          <w:b/>
          <w:bCs/>
          <w:color w:val="auto"/>
          <w:sz w:val="24"/>
          <w:highlight w:val="none"/>
          <w:lang w:val="zh-CN"/>
        </w:rPr>
        <w:t>附件</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lang w:val="zh-CN"/>
        </w:rPr>
        <w:t>商务偏离表</w:t>
      </w:r>
    </w:p>
    <w:tbl>
      <w:tblPr>
        <w:tblStyle w:val="44"/>
        <w:tblW w:w="9327"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440"/>
        <w:gridCol w:w="2591"/>
        <w:gridCol w:w="2423"/>
        <w:gridCol w:w="1232"/>
      </w:tblGrid>
      <w:tr w14:paraId="03DA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41" w:type="dxa"/>
            <w:vAlign w:val="center"/>
          </w:tcPr>
          <w:p w14:paraId="48F83E60">
            <w:pPr>
              <w:jc w:val="center"/>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序号</w:t>
            </w:r>
          </w:p>
        </w:tc>
        <w:tc>
          <w:tcPr>
            <w:tcW w:w="2440" w:type="dxa"/>
            <w:vAlign w:val="center"/>
          </w:tcPr>
          <w:p w14:paraId="0982FA8E">
            <w:pPr>
              <w:jc w:val="center"/>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名称</w:t>
            </w:r>
          </w:p>
        </w:tc>
        <w:tc>
          <w:tcPr>
            <w:tcW w:w="2591" w:type="dxa"/>
            <w:vAlign w:val="center"/>
          </w:tcPr>
          <w:p w14:paraId="3B426346">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2423" w:type="dxa"/>
            <w:vAlign w:val="center"/>
          </w:tcPr>
          <w:p w14:paraId="0FA21463">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232" w:type="dxa"/>
            <w:vAlign w:val="center"/>
          </w:tcPr>
          <w:p w14:paraId="6EABD2B7">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70E0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14:paraId="4ED1DEB6">
            <w:pPr>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1</w:t>
            </w:r>
          </w:p>
        </w:tc>
        <w:tc>
          <w:tcPr>
            <w:tcW w:w="2440" w:type="dxa"/>
            <w:vAlign w:val="center"/>
          </w:tcPr>
          <w:p w14:paraId="41B2B90B">
            <w:pPr>
              <w:jc w:val="center"/>
              <w:rPr>
                <w:rFonts w:ascii="宋体" w:hAnsi="宋体" w:cs="宋体"/>
                <w:color w:val="auto"/>
                <w:kern w:val="0"/>
                <w:sz w:val="24"/>
                <w:highlight w:val="none"/>
              </w:rPr>
            </w:pPr>
          </w:p>
        </w:tc>
        <w:tc>
          <w:tcPr>
            <w:tcW w:w="2591" w:type="dxa"/>
            <w:vAlign w:val="center"/>
          </w:tcPr>
          <w:p w14:paraId="6B6935F5">
            <w:pPr>
              <w:jc w:val="center"/>
              <w:rPr>
                <w:rFonts w:ascii="宋体" w:hAnsi="宋体" w:cs="宋体"/>
                <w:b/>
                <w:color w:val="auto"/>
                <w:kern w:val="0"/>
                <w:sz w:val="32"/>
                <w:szCs w:val="32"/>
                <w:highlight w:val="none"/>
              </w:rPr>
            </w:pPr>
          </w:p>
        </w:tc>
        <w:tc>
          <w:tcPr>
            <w:tcW w:w="2423" w:type="dxa"/>
            <w:vAlign w:val="center"/>
          </w:tcPr>
          <w:p w14:paraId="5FF76456">
            <w:pPr>
              <w:jc w:val="center"/>
              <w:rPr>
                <w:rFonts w:ascii="宋体" w:hAnsi="宋体" w:cs="宋体"/>
                <w:b/>
                <w:color w:val="auto"/>
                <w:kern w:val="0"/>
                <w:sz w:val="32"/>
                <w:szCs w:val="32"/>
                <w:highlight w:val="none"/>
              </w:rPr>
            </w:pPr>
          </w:p>
        </w:tc>
        <w:tc>
          <w:tcPr>
            <w:tcW w:w="1232" w:type="dxa"/>
            <w:vAlign w:val="center"/>
          </w:tcPr>
          <w:p w14:paraId="277CD6D7">
            <w:pPr>
              <w:jc w:val="center"/>
              <w:rPr>
                <w:rFonts w:ascii="宋体" w:hAnsi="宋体" w:cs="宋体"/>
                <w:b/>
                <w:color w:val="auto"/>
                <w:kern w:val="0"/>
                <w:sz w:val="32"/>
                <w:szCs w:val="32"/>
                <w:highlight w:val="none"/>
              </w:rPr>
            </w:pPr>
          </w:p>
        </w:tc>
      </w:tr>
      <w:tr w14:paraId="2F9D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14:paraId="61C7ABA1">
            <w:pPr>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2</w:t>
            </w:r>
          </w:p>
        </w:tc>
        <w:tc>
          <w:tcPr>
            <w:tcW w:w="2440" w:type="dxa"/>
            <w:vAlign w:val="center"/>
          </w:tcPr>
          <w:p w14:paraId="7FA2FFE6">
            <w:pPr>
              <w:jc w:val="center"/>
              <w:rPr>
                <w:rFonts w:ascii="宋体" w:hAnsi="宋体" w:cs="宋体"/>
                <w:color w:val="auto"/>
                <w:kern w:val="0"/>
                <w:sz w:val="24"/>
                <w:highlight w:val="none"/>
              </w:rPr>
            </w:pPr>
          </w:p>
        </w:tc>
        <w:tc>
          <w:tcPr>
            <w:tcW w:w="2591" w:type="dxa"/>
            <w:vAlign w:val="center"/>
          </w:tcPr>
          <w:p w14:paraId="3D96D204">
            <w:pPr>
              <w:jc w:val="center"/>
              <w:rPr>
                <w:rFonts w:ascii="宋体" w:hAnsi="宋体" w:cs="宋体"/>
                <w:b/>
                <w:color w:val="auto"/>
                <w:kern w:val="0"/>
                <w:sz w:val="32"/>
                <w:szCs w:val="32"/>
                <w:highlight w:val="none"/>
              </w:rPr>
            </w:pPr>
          </w:p>
        </w:tc>
        <w:tc>
          <w:tcPr>
            <w:tcW w:w="2423" w:type="dxa"/>
            <w:vAlign w:val="center"/>
          </w:tcPr>
          <w:p w14:paraId="0A81AFEB">
            <w:pPr>
              <w:jc w:val="center"/>
              <w:rPr>
                <w:rFonts w:ascii="宋体" w:hAnsi="宋体" w:cs="宋体"/>
                <w:b/>
                <w:color w:val="auto"/>
                <w:kern w:val="0"/>
                <w:sz w:val="32"/>
                <w:szCs w:val="32"/>
                <w:highlight w:val="none"/>
              </w:rPr>
            </w:pPr>
          </w:p>
        </w:tc>
        <w:tc>
          <w:tcPr>
            <w:tcW w:w="1232" w:type="dxa"/>
            <w:vAlign w:val="center"/>
          </w:tcPr>
          <w:p w14:paraId="167149FF">
            <w:pPr>
              <w:jc w:val="center"/>
              <w:rPr>
                <w:rFonts w:ascii="宋体" w:hAnsi="宋体" w:cs="宋体"/>
                <w:b/>
                <w:color w:val="auto"/>
                <w:kern w:val="0"/>
                <w:sz w:val="32"/>
                <w:szCs w:val="32"/>
                <w:highlight w:val="none"/>
              </w:rPr>
            </w:pPr>
          </w:p>
        </w:tc>
      </w:tr>
      <w:tr w14:paraId="4269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14:paraId="5D760F2A">
            <w:pPr>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c>
          <w:tcPr>
            <w:tcW w:w="2440" w:type="dxa"/>
            <w:vAlign w:val="center"/>
          </w:tcPr>
          <w:p w14:paraId="6AF5FAF1">
            <w:pPr>
              <w:jc w:val="center"/>
              <w:rPr>
                <w:rFonts w:ascii="宋体" w:hAnsi="宋体" w:cs="宋体"/>
                <w:color w:val="auto"/>
                <w:kern w:val="0"/>
                <w:sz w:val="24"/>
                <w:highlight w:val="none"/>
              </w:rPr>
            </w:pPr>
          </w:p>
        </w:tc>
        <w:tc>
          <w:tcPr>
            <w:tcW w:w="2591" w:type="dxa"/>
            <w:vAlign w:val="center"/>
          </w:tcPr>
          <w:p w14:paraId="32CF6386">
            <w:pPr>
              <w:jc w:val="center"/>
              <w:rPr>
                <w:rFonts w:ascii="宋体" w:hAnsi="宋体" w:cs="宋体"/>
                <w:b/>
                <w:color w:val="auto"/>
                <w:kern w:val="0"/>
                <w:sz w:val="32"/>
                <w:szCs w:val="32"/>
                <w:highlight w:val="none"/>
              </w:rPr>
            </w:pPr>
          </w:p>
        </w:tc>
        <w:tc>
          <w:tcPr>
            <w:tcW w:w="2423" w:type="dxa"/>
            <w:vAlign w:val="center"/>
          </w:tcPr>
          <w:p w14:paraId="35A67796">
            <w:pPr>
              <w:jc w:val="center"/>
              <w:rPr>
                <w:rFonts w:ascii="宋体" w:hAnsi="宋体" w:cs="宋体"/>
                <w:b/>
                <w:color w:val="auto"/>
                <w:kern w:val="0"/>
                <w:sz w:val="32"/>
                <w:szCs w:val="32"/>
                <w:highlight w:val="none"/>
              </w:rPr>
            </w:pPr>
          </w:p>
        </w:tc>
        <w:tc>
          <w:tcPr>
            <w:tcW w:w="1232" w:type="dxa"/>
            <w:vAlign w:val="center"/>
          </w:tcPr>
          <w:p w14:paraId="002FFFB0">
            <w:pPr>
              <w:jc w:val="center"/>
              <w:rPr>
                <w:rFonts w:ascii="宋体" w:hAnsi="宋体" w:cs="宋体"/>
                <w:b/>
                <w:color w:val="auto"/>
                <w:kern w:val="0"/>
                <w:sz w:val="32"/>
                <w:szCs w:val="32"/>
                <w:highlight w:val="none"/>
              </w:rPr>
            </w:pPr>
          </w:p>
        </w:tc>
      </w:tr>
      <w:tr w14:paraId="3CCAF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14:paraId="07E4FEC6">
            <w:pPr>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4</w:t>
            </w:r>
          </w:p>
        </w:tc>
        <w:tc>
          <w:tcPr>
            <w:tcW w:w="2440" w:type="dxa"/>
            <w:vAlign w:val="center"/>
          </w:tcPr>
          <w:p w14:paraId="0B9D3C27">
            <w:pPr>
              <w:jc w:val="center"/>
              <w:rPr>
                <w:rFonts w:ascii="宋体" w:hAnsi="宋体" w:cs="宋体"/>
                <w:color w:val="auto"/>
                <w:kern w:val="0"/>
                <w:sz w:val="24"/>
                <w:highlight w:val="none"/>
              </w:rPr>
            </w:pPr>
          </w:p>
        </w:tc>
        <w:tc>
          <w:tcPr>
            <w:tcW w:w="2591" w:type="dxa"/>
            <w:vAlign w:val="center"/>
          </w:tcPr>
          <w:p w14:paraId="512AC8EC">
            <w:pPr>
              <w:jc w:val="center"/>
              <w:rPr>
                <w:rFonts w:ascii="宋体" w:hAnsi="宋体" w:cs="宋体"/>
                <w:b/>
                <w:color w:val="auto"/>
                <w:kern w:val="0"/>
                <w:sz w:val="32"/>
                <w:szCs w:val="32"/>
                <w:highlight w:val="none"/>
              </w:rPr>
            </w:pPr>
          </w:p>
        </w:tc>
        <w:tc>
          <w:tcPr>
            <w:tcW w:w="2423" w:type="dxa"/>
            <w:vAlign w:val="center"/>
          </w:tcPr>
          <w:p w14:paraId="1AED35FB">
            <w:pPr>
              <w:jc w:val="center"/>
              <w:rPr>
                <w:rFonts w:ascii="宋体" w:hAnsi="宋体" w:cs="宋体"/>
                <w:b/>
                <w:color w:val="auto"/>
                <w:kern w:val="0"/>
                <w:sz w:val="32"/>
                <w:szCs w:val="32"/>
                <w:highlight w:val="none"/>
              </w:rPr>
            </w:pPr>
          </w:p>
        </w:tc>
        <w:tc>
          <w:tcPr>
            <w:tcW w:w="1232" w:type="dxa"/>
            <w:vAlign w:val="center"/>
          </w:tcPr>
          <w:p w14:paraId="664C52FA">
            <w:pPr>
              <w:jc w:val="center"/>
              <w:rPr>
                <w:rFonts w:ascii="宋体" w:hAnsi="宋体" w:cs="宋体"/>
                <w:b/>
                <w:color w:val="auto"/>
                <w:kern w:val="0"/>
                <w:sz w:val="32"/>
                <w:szCs w:val="32"/>
                <w:highlight w:val="none"/>
              </w:rPr>
            </w:pPr>
          </w:p>
        </w:tc>
      </w:tr>
      <w:tr w14:paraId="16B1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14:paraId="7A4AB99A">
            <w:pPr>
              <w:jc w:val="center"/>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highlight w:val="none"/>
              </w:rPr>
              <w:t>…</w:t>
            </w:r>
          </w:p>
        </w:tc>
        <w:tc>
          <w:tcPr>
            <w:tcW w:w="2440" w:type="dxa"/>
            <w:vAlign w:val="center"/>
          </w:tcPr>
          <w:p w14:paraId="6A5BFD28">
            <w:pPr>
              <w:jc w:val="center"/>
              <w:rPr>
                <w:rFonts w:ascii="宋体" w:hAnsi="宋体" w:cs="宋体"/>
                <w:color w:val="auto"/>
                <w:kern w:val="0"/>
                <w:sz w:val="24"/>
                <w:highlight w:val="none"/>
              </w:rPr>
            </w:pPr>
          </w:p>
        </w:tc>
        <w:tc>
          <w:tcPr>
            <w:tcW w:w="2591" w:type="dxa"/>
            <w:vAlign w:val="center"/>
          </w:tcPr>
          <w:p w14:paraId="0A4801BD">
            <w:pPr>
              <w:jc w:val="center"/>
              <w:rPr>
                <w:rFonts w:ascii="宋体" w:hAnsi="宋体" w:cs="宋体"/>
                <w:b/>
                <w:color w:val="auto"/>
                <w:kern w:val="0"/>
                <w:sz w:val="32"/>
                <w:szCs w:val="32"/>
                <w:highlight w:val="none"/>
              </w:rPr>
            </w:pPr>
          </w:p>
        </w:tc>
        <w:tc>
          <w:tcPr>
            <w:tcW w:w="2423" w:type="dxa"/>
            <w:vAlign w:val="center"/>
          </w:tcPr>
          <w:p w14:paraId="25AE5A44">
            <w:pPr>
              <w:jc w:val="center"/>
              <w:rPr>
                <w:rFonts w:ascii="宋体" w:hAnsi="宋体" w:cs="宋体"/>
                <w:b/>
                <w:color w:val="auto"/>
                <w:kern w:val="0"/>
                <w:sz w:val="32"/>
                <w:szCs w:val="32"/>
                <w:highlight w:val="none"/>
              </w:rPr>
            </w:pPr>
          </w:p>
        </w:tc>
        <w:tc>
          <w:tcPr>
            <w:tcW w:w="1232" w:type="dxa"/>
            <w:vAlign w:val="center"/>
          </w:tcPr>
          <w:p w14:paraId="62B49A7F">
            <w:pPr>
              <w:jc w:val="center"/>
              <w:rPr>
                <w:rFonts w:ascii="宋体" w:hAnsi="宋体" w:cs="宋体"/>
                <w:b/>
                <w:color w:val="auto"/>
                <w:kern w:val="0"/>
                <w:sz w:val="32"/>
                <w:szCs w:val="32"/>
                <w:highlight w:val="none"/>
              </w:rPr>
            </w:pPr>
          </w:p>
        </w:tc>
      </w:tr>
      <w:tr w14:paraId="5B21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14:paraId="36C22832">
            <w:pPr>
              <w:jc w:val="center"/>
              <w:rPr>
                <w:rFonts w:hint="eastAsia" w:ascii="宋体" w:hAnsi="宋体" w:cs="宋体"/>
                <w:color w:val="auto"/>
                <w:kern w:val="0"/>
                <w:sz w:val="24"/>
                <w:highlight w:val="none"/>
              </w:rPr>
            </w:pPr>
          </w:p>
        </w:tc>
        <w:tc>
          <w:tcPr>
            <w:tcW w:w="2440" w:type="dxa"/>
            <w:vAlign w:val="center"/>
          </w:tcPr>
          <w:p w14:paraId="4D84E69E">
            <w:pPr>
              <w:jc w:val="center"/>
              <w:rPr>
                <w:rFonts w:ascii="宋体" w:hAnsi="宋体" w:cs="宋体"/>
                <w:color w:val="auto"/>
                <w:kern w:val="0"/>
                <w:sz w:val="24"/>
                <w:highlight w:val="none"/>
              </w:rPr>
            </w:pPr>
          </w:p>
        </w:tc>
        <w:tc>
          <w:tcPr>
            <w:tcW w:w="2591" w:type="dxa"/>
            <w:vAlign w:val="center"/>
          </w:tcPr>
          <w:p w14:paraId="3D1A4AB1">
            <w:pPr>
              <w:jc w:val="center"/>
              <w:rPr>
                <w:rFonts w:ascii="宋体" w:hAnsi="宋体" w:cs="宋体"/>
                <w:b/>
                <w:color w:val="auto"/>
                <w:kern w:val="0"/>
                <w:sz w:val="32"/>
                <w:szCs w:val="32"/>
                <w:highlight w:val="none"/>
              </w:rPr>
            </w:pPr>
          </w:p>
        </w:tc>
        <w:tc>
          <w:tcPr>
            <w:tcW w:w="2423" w:type="dxa"/>
            <w:vAlign w:val="center"/>
          </w:tcPr>
          <w:p w14:paraId="4613516C">
            <w:pPr>
              <w:jc w:val="center"/>
              <w:rPr>
                <w:rFonts w:ascii="宋体" w:hAnsi="宋体" w:cs="宋体"/>
                <w:b/>
                <w:color w:val="auto"/>
                <w:kern w:val="0"/>
                <w:sz w:val="32"/>
                <w:szCs w:val="32"/>
                <w:highlight w:val="none"/>
              </w:rPr>
            </w:pPr>
          </w:p>
        </w:tc>
        <w:tc>
          <w:tcPr>
            <w:tcW w:w="1232" w:type="dxa"/>
            <w:vAlign w:val="center"/>
          </w:tcPr>
          <w:p w14:paraId="0795D5FD">
            <w:pPr>
              <w:jc w:val="center"/>
              <w:rPr>
                <w:rFonts w:ascii="宋体" w:hAnsi="宋体" w:cs="宋体"/>
                <w:b/>
                <w:color w:val="auto"/>
                <w:kern w:val="0"/>
                <w:sz w:val="32"/>
                <w:szCs w:val="32"/>
                <w:highlight w:val="none"/>
              </w:rPr>
            </w:pPr>
          </w:p>
        </w:tc>
      </w:tr>
    </w:tbl>
    <w:p w14:paraId="2395F08D">
      <w:pPr>
        <w:pStyle w:val="39"/>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firstLine="240" w:firstLineChars="100"/>
        <w:textAlignment w:val="auto"/>
        <w:rPr>
          <w:rFonts w:hint="eastAsia" w:cs="宋体"/>
          <w:color w:val="auto"/>
          <w:highlight w:val="none"/>
        </w:rPr>
      </w:pPr>
      <w:r>
        <w:rPr>
          <w:rFonts w:hint="eastAsia" w:cs="宋体"/>
          <w:color w:val="auto"/>
          <w:highlight w:val="none"/>
        </w:rPr>
        <w:t>（注：</w:t>
      </w:r>
      <w:r>
        <w:rPr>
          <w:rFonts w:hint="eastAsia" w:cs="宋体"/>
          <w:color w:val="auto"/>
          <w:highlight w:val="none"/>
          <w:lang w:eastAsia="zh-CN"/>
        </w:rPr>
        <w:t>投标人</w:t>
      </w:r>
      <w:r>
        <w:rPr>
          <w:rFonts w:hint="eastAsia" w:cs="宋体"/>
          <w:color w:val="auto"/>
          <w:highlight w:val="none"/>
        </w:rPr>
        <w:t>应根据</w:t>
      </w:r>
      <w:r>
        <w:rPr>
          <w:rFonts w:hint="eastAsia" w:cs="宋体"/>
          <w:color w:val="auto"/>
          <w:highlight w:val="none"/>
          <w:lang w:eastAsia="zh-CN"/>
        </w:rPr>
        <w:t>招标文件中商务条款</w:t>
      </w:r>
      <w:r>
        <w:rPr>
          <w:rFonts w:hint="eastAsia" w:cs="宋体"/>
          <w:color w:val="auto"/>
          <w:highlight w:val="none"/>
        </w:rPr>
        <w:t>对照</w:t>
      </w:r>
      <w:r>
        <w:rPr>
          <w:rFonts w:hint="eastAsia" w:cs="宋体"/>
          <w:color w:val="auto"/>
          <w:highlight w:val="none"/>
          <w:lang w:eastAsia="zh-CN"/>
        </w:rPr>
        <w:t>招标</w:t>
      </w:r>
      <w:r>
        <w:rPr>
          <w:rFonts w:hint="eastAsia" w:cs="宋体"/>
          <w:color w:val="auto"/>
          <w:highlight w:val="none"/>
        </w:rPr>
        <w:t>文件要求对比偏离情况，此表格若不够用，可根据实际自行扩展表格。）</w:t>
      </w:r>
    </w:p>
    <w:p w14:paraId="7BE761DF">
      <w:pPr>
        <w:widowControl/>
        <w:adjustRightInd w:val="0"/>
        <w:spacing w:line="240" w:lineRule="auto"/>
        <w:ind w:firstLine="2623" w:firstLineChars="1093"/>
        <w:jc w:val="left"/>
        <w:rPr>
          <w:rFonts w:hint="eastAsia" w:ascii="宋体" w:hAnsi="宋体" w:eastAsia="宋体" w:cs="宋体"/>
          <w:color w:val="auto"/>
          <w:kern w:val="0"/>
          <w:sz w:val="24"/>
          <w:highlight w:val="none"/>
        </w:rPr>
      </w:pPr>
    </w:p>
    <w:p w14:paraId="5D4D81DC">
      <w:pPr>
        <w:widowControl/>
        <w:adjustRightInd w:val="0"/>
        <w:spacing w:line="240" w:lineRule="auto"/>
        <w:ind w:firstLine="3103" w:firstLineChars="1293"/>
        <w:jc w:val="left"/>
        <w:rPr>
          <w:rFonts w:hint="eastAsia" w:ascii="宋体" w:hAnsi="宋体" w:eastAsia="宋体" w:cs="宋体"/>
          <w:color w:val="auto"/>
          <w:kern w:val="0"/>
          <w:sz w:val="24"/>
          <w:highlight w:val="none"/>
        </w:rPr>
      </w:pPr>
    </w:p>
    <w:p w14:paraId="628F721C">
      <w:pPr>
        <w:widowControl/>
        <w:adjustRightInd w:val="0"/>
        <w:spacing w:line="240" w:lineRule="auto"/>
        <w:ind w:firstLine="3103" w:firstLineChars="1293"/>
        <w:jc w:val="left"/>
        <w:rPr>
          <w:rFonts w:hint="eastAsia" w:ascii="宋体" w:hAnsi="宋体" w:eastAsia="宋体" w:cs="宋体"/>
          <w:color w:val="auto"/>
          <w:kern w:val="0"/>
          <w:sz w:val="24"/>
          <w:highlight w:val="none"/>
        </w:rPr>
      </w:pPr>
    </w:p>
    <w:p w14:paraId="1A1292A2">
      <w:pPr>
        <w:widowControl/>
        <w:adjustRightInd w:val="0"/>
        <w:spacing w:line="240" w:lineRule="auto"/>
        <w:ind w:firstLine="3103" w:firstLineChars="1293"/>
        <w:jc w:val="left"/>
        <w:rPr>
          <w:rFonts w:hint="eastAsia" w:ascii="宋体" w:hAnsi="宋体" w:eastAsia="宋体" w:cs="宋体"/>
          <w:color w:val="auto"/>
          <w:kern w:val="0"/>
          <w:sz w:val="24"/>
          <w:highlight w:val="none"/>
        </w:rPr>
      </w:pPr>
    </w:p>
    <w:p w14:paraId="03169D23">
      <w:pPr>
        <w:widowControl/>
        <w:adjustRightInd w:val="0"/>
        <w:spacing w:line="240" w:lineRule="auto"/>
        <w:ind w:firstLine="3103" w:firstLineChars="1293"/>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投 标 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盖单位</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r>
        <w:rPr>
          <w:rFonts w:hint="eastAsia" w:ascii="宋体" w:hAnsi="宋体" w:eastAsia="宋体" w:cs="宋体"/>
          <w:color w:val="auto"/>
          <w:kern w:val="0"/>
          <w:sz w:val="24"/>
          <w:highlight w:val="none"/>
        </w:rPr>
        <w:t>）</w:t>
      </w:r>
    </w:p>
    <w:p w14:paraId="6CFD9164">
      <w:pPr>
        <w:widowControl/>
        <w:adjustRightInd w:val="0"/>
        <w:spacing w:line="240" w:lineRule="auto"/>
        <w:ind w:firstLine="2623" w:firstLineChars="1093"/>
        <w:jc w:val="left"/>
        <w:rPr>
          <w:rFonts w:hint="eastAsia" w:ascii="宋体" w:hAnsi="宋体" w:eastAsia="宋体" w:cs="宋体"/>
          <w:color w:val="auto"/>
          <w:kern w:val="0"/>
          <w:sz w:val="24"/>
          <w:highlight w:val="none"/>
        </w:rPr>
      </w:pPr>
    </w:p>
    <w:p w14:paraId="38EA2478">
      <w:pPr>
        <w:pStyle w:val="4"/>
        <w:spacing w:before="0" w:after="0" w:line="360" w:lineRule="auto"/>
        <w:jc w:val="center"/>
        <w:outlineLvl w:val="1"/>
        <w:rPr>
          <w:rFonts w:hint="eastAsia" w:ascii="宋体" w:hAnsi="宋体" w:eastAsia="宋体" w:cs="宋体"/>
          <w:b w:val="0"/>
          <w:bCs w:val="0"/>
          <w:color w:val="auto"/>
          <w:sz w:val="32"/>
          <w:szCs w:val="28"/>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b w:val="0"/>
          <w:bCs w:val="0"/>
          <w:color w:val="auto"/>
          <w:kern w:val="0"/>
          <w:sz w:val="24"/>
          <w:highlight w:val="none"/>
        </w:rPr>
        <w:t xml:space="preserve"> 法定代表人：</w:t>
      </w:r>
      <w:r>
        <w:rPr>
          <w:rFonts w:hint="eastAsia" w:ascii="宋体" w:hAnsi="宋体" w:eastAsia="宋体" w:cs="宋体"/>
          <w:b w:val="0"/>
          <w:bCs w:val="0"/>
          <w:color w:val="auto"/>
          <w:kern w:val="0"/>
          <w:sz w:val="24"/>
          <w:highlight w:val="none"/>
          <w:u w:val="single"/>
        </w:rPr>
        <w:t xml:space="preserve">                   </w:t>
      </w:r>
      <w:r>
        <w:rPr>
          <w:rFonts w:hint="eastAsia" w:ascii="宋体" w:hAnsi="宋体" w:eastAsia="宋体" w:cs="宋体"/>
          <w:b w:val="0"/>
          <w:bCs w:val="0"/>
          <w:color w:val="auto"/>
          <w:kern w:val="0"/>
          <w:sz w:val="24"/>
          <w:highlight w:val="none"/>
        </w:rPr>
        <w:t>（签章）</w:t>
      </w:r>
    </w:p>
    <w:p w14:paraId="4734FC40">
      <w:pPr>
        <w:pStyle w:val="4"/>
        <w:spacing w:before="0" w:after="0" w:line="360" w:lineRule="auto"/>
        <w:jc w:val="center"/>
        <w:outlineLvl w:val="1"/>
        <w:rPr>
          <w:rFonts w:hint="eastAsia" w:ascii="宋体" w:hAnsi="宋体" w:eastAsia="宋体" w:cs="宋体"/>
          <w:color w:val="auto"/>
          <w:sz w:val="32"/>
          <w:szCs w:val="28"/>
          <w:highlight w:val="none"/>
        </w:rPr>
      </w:pPr>
    </w:p>
    <w:p w14:paraId="09795575">
      <w:pPr>
        <w:pStyle w:val="4"/>
        <w:spacing w:before="0" w:after="0" w:line="360" w:lineRule="auto"/>
        <w:jc w:val="center"/>
        <w:outlineLvl w:val="1"/>
        <w:rPr>
          <w:rFonts w:hint="eastAsia" w:ascii="宋体" w:hAnsi="宋体" w:eastAsia="宋体" w:cs="宋体"/>
          <w:color w:val="auto"/>
          <w:sz w:val="32"/>
          <w:szCs w:val="28"/>
          <w:highlight w:val="none"/>
        </w:rPr>
      </w:pPr>
    </w:p>
    <w:p w14:paraId="29060415">
      <w:pPr>
        <w:pStyle w:val="4"/>
        <w:spacing w:before="0" w:after="0" w:line="360" w:lineRule="auto"/>
        <w:jc w:val="center"/>
        <w:outlineLvl w:val="1"/>
        <w:rPr>
          <w:rFonts w:hint="eastAsia" w:ascii="宋体" w:hAnsi="宋体" w:eastAsia="宋体" w:cs="宋体"/>
          <w:color w:val="auto"/>
          <w:sz w:val="32"/>
          <w:szCs w:val="28"/>
          <w:highlight w:val="none"/>
        </w:rPr>
      </w:pPr>
    </w:p>
    <w:bookmarkEnd w:id="280"/>
    <w:p w14:paraId="7ADB7095">
      <w:pPr>
        <w:spacing w:line="360" w:lineRule="auto"/>
        <w:rPr>
          <w:rFonts w:hint="eastAsia" w:ascii="宋体" w:hAnsi="宋体" w:eastAsia="宋体" w:cs="宋体"/>
          <w:color w:val="auto"/>
          <w:sz w:val="24"/>
          <w:highlight w:val="none"/>
        </w:rPr>
      </w:pPr>
    </w:p>
    <w:p w14:paraId="2E39C2BD">
      <w:pPr>
        <w:pStyle w:val="42"/>
        <w:rPr>
          <w:rFonts w:hint="eastAsia" w:ascii="宋体" w:hAnsi="宋体" w:eastAsia="宋体" w:cs="宋体"/>
          <w:color w:val="auto"/>
          <w:sz w:val="24"/>
          <w:highlight w:val="none"/>
        </w:rPr>
      </w:pPr>
    </w:p>
    <w:p w14:paraId="76120EE8">
      <w:pPr>
        <w:pStyle w:val="18"/>
        <w:rPr>
          <w:rFonts w:hint="eastAsia" w:ascii="宋体" w:hAnsi="宋体" w:eastAsia="宋体" w:cs="宋体"/>
          <w:color w:val="auto"/>
          <w:sz w:val="24"/>
          <w:highlight w:val="none"/>
        </w:rPr>
      </w:pPr>
    </w:p>
    <w:p w14:paraId="4F946234">
      <w:pPr>
        <w:pStyle w:val="4"/>
        <w:spacing w:before="0" w:after="0" w:line="360" w:lineRule="auto"/>
        <w:jc w:val="center"/>
        <w:outlineLvl w:val="1"/>
        <w:rPr>
          <w:rFonts w:hint="eastAsia" w:ascii="宋体" w:hAnsi="宋体" w:eastAsia="宋体" w:cs="宋体"/>
          <w:color w:val="auto"/>
          <w:sz w:val="32"/>
          <w:szCs w:val="28"/>
          <w:highlight w:val="none"/>
        </w:rPr>
      </w:pPr>
    </w:p>
    <w:p w14:paraId="58CA2C61">
      <w:pPr>
        <w:pStyle w:val="4"/>
        <w:spacing w:before="0" w:after="0" w:line="360" w:lineRule="auto"/>
        <w:jc w:val="center"/>
        <w:outlineLvl w:val="1"/>
        <w:rPr>
          <w:rFonts w:hint="eastAsia" w:ascii="宋体" w:hAnsi="宋体" w:eastAsia="宋体" w:cs="宋体"/>
          <w:color w:val="auto"/>
          <w:sz w:val="32"/>
          <w:szCs w:val="28"/>
          <w:highlight w:val="none"/>
        </w:rPr>
      </w:pPr>
    </w:p>
    <w:p w14:paraId="1C88E060">
      <w:pPr>
        <w:pStyle w:val="18"/>
        <w:rPr>
          <w:rFonts w:hint="eastAsia" w:ascii="宋体" w:hAnsi="宋体" w:eastAsia="宋体" w:cs="宋体"/>
          <w:color w:val="auto"/>
          <w:sz w:val="24"/>
          <w:highlight w:val="none"/>
        </w:rPr>
      </w:pPr>
    </w:p>
    <w:p w14:paraId="1B2F96EF">
      <w:pPr>
        <w:pStyle w:val="18"/>
        <w:rPr>
          <w:rFonts w:hint="eastAsia" w:ascii="宋体" w:hAnsi="宋体" w:eastAsia="宋体" w:cs="宋体"/>
          <w:color w:val="auto"/>
          <w:sz w:val="24"/>
          <w:highlight w:val="none"/>
        </w:rPr>
      </w:pPr>
    </w:p>
    <w:p w14:paraId="78B9EA97">
      <w:pPr>
        <w:pStyle w:val="18"/>
        <w:rPr>
          <w:rFonts w:hint="eastAsia" w:ascii="宋体" w:hAnsi="宋体" w:eastAsia="宋体" w:cs="宋体"/>
          <w:color w:val="auto"/>
          <w:sz w:val="24"/>
          <w:highlight w:val="none"/>
        </w:rPr>
      </w:pPr>
    </w:p>
    <w:p w14:paraId="56CBD402">
      <w:pPr>
        <w:pStyle w:val="4"/>
        <w:spacing w:before="0" w:after="0" w:line="360" w:lineRule="auto"/>
        <w:jc w:val="center"/>
        <w:outlineLvl w:val="1"/>
        <w:rPr>
          <w:rFonts w:hint="eastAsia"/>
          <w:color w:val="auto"/>
          <w:sz w:val="36"/>
          <w:szCs w:val="36"/>
          <w:highlight w:val="none"/>
        </w:rPr>
      </w:pPr>
      <w:r>
        <w:rPr>
          <w:rFonts w:hint="eastAsia" w:ascii="宋体" w:hAnsi="宋体" w:eastAsia="宋体" w:cs="宋体"/>
          <w:color w:val="auto"/>
          <w:sz w:val="32"/>
          <w:szCs w:val="28"/>
          <w:highlight w:val="none"/>
        </w:rPr>
        <w:t>二、法定代表人身份证明</w:t>
      </w:r>
    </w:p>
    <w:p w14:paraId="2DEA9259">
      <w:pPr>
        <w:pStyle w:val="18"/>
        <w:rPr>
          <w:rFonts w:hint="eastAsia" w:ascii="宋体" w:hAnsi="宋体" w:eastAsia="宋体" w:cs="宋体"/>
          <w:color w:val="auto"/>
          <w:sz w:val="24"/>
          <w:highlight w:val="none"/>
        </w:rPr>
      </w:pPr>
    </w:p>
    <w:p w14:paraId="4700F892">
      <w:pPr>
        <w:widowControl/>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xml:space="preserve">投标人名称： </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 xml:space="preserve">  </w:t>
      </w:r>
    </w:p>
    <w:p w14:paraId="5018F5AB">
      <w:pPr>
        <w:widowControl/>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单位性质：</w:t>
      </w:r>
      <w:r>
        <w:rPr>
          <w:rFonts w:hint="eastAsia" w:ascii="宋体" w:hAnsi="宋体" w:eastAsia="宋体" w:cs="宋体"/>
          <w:color w:val="auto"/>
          <w:kern w:val="0"/>
          <w:sz w:val="24"/>
          <w:highlight w:val="none"/>
          <w:u w:val="single"/>
          <w:lang w:bidi="ar"/>
        </w:rPr>
        <w:t xml:space="preserve">                       </w:t>
      </w:r>
    </w:p>
    <w:p w14:paraId="5C1C9D79">
      <w:pPr>
        <w:widowControl/>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xml:space="preserve">    地址：</w:t>
      </w:r>
      <w:r>
        <w:rPr>
          <w:rFonts w:hint="eastAsia" w:ascii="宋体" w:hAnsi="宋体" w:eastAsia="宋体" w:cs="宋体"/>
          <w:color w:val="auto"/>
          <w:kern w:val="0"/>
          <w:sz w:val="24"/>
          <w:highlight w:val="none"/>
          <w:u w:val="single"/>
          <w:lang w:bidi="ar"/>
        </w:rPr>
        <w:t xml:space="preserve">                           </w:t>
      </w:r>
    </w:p>
    <w:p w14:paraId="731B1042">
      <w:pPr>
        <w:widowControl/>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xml:space="preserve">    成立时间：</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年</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月</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日</w:t>
      </w:r>
    </w:p>
    <w:p w14:paraId="0E94D07F">
      <w:pPr>
        <w:widowControl/>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xml:space="preserve">    经营期限：</w:t>
      </w:r>
      <w:r>
        <w:rPr>
          <w:rFonts w:hint="eastAsia" w:ascii="宋体" w:hAnsi="宋体" w:eastAsia="宋体" w:cs="宋体"/>
          <w:color w:val="auto"/>
          <w:kern w:val="0"/>
          <w:sz w:val="24"/>
          <w:highlight w:val="none"/>
          <w:u w:val="single"/>
          <w:lang w:bidi="ar"/>
        </w:rPr>
        <w:t xml:space="preserve">            </w:t>
      </w:r>
    </w:p>
    <w:p w14:paraId="4D7D4A00">
      <w:pPr>
        <w:widowControl/>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xml:space="preserve">    姓名：</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性别：</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年龄：</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职务：</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u w:val="single"/>
          <w:lang w:val="en-US" w:eastAsia="zh-CN" w:bidi="ar"/>
        </w:rPr>
        <w:t xml:space="preserve">  </w:t>
      </w:r>
      <w:r>
        <w:rPr>
          <w:rFonts w:hint="eastAsia" w:ascii="宋体" w:hAnsi="宋体" w:eastAsia="宋体" w:cs="宋体"/>
          <w:color w:val="auto"/>
          <w:kern w:val="0"/>
          <w:sz w:val="24"/>
          <w:highlight w:val="none"/>
          <w:u w:val="single"/>
          <w:lang w:bidi="ar"/>
        </w:rPr>
        <w:t xml:space="preserve">  </w:t>
      </w:r>
    </w:p>
    <w:p w14:paraId="649859FE">
      <w:pPr>
        <w:widowControl/>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xml:space="preserve">    系</w:t>
      </w: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t>（投标人名称）的法定代表人。</w:t>
      </w:r>
    </w:p>
    <w:p w14:paraId="10C81F31">
      <w:pPr>
        <w:widowControl/>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xml:space="preserve"> </w:t>
      </w:r>
    </w:p>
    <w:p w14:paraId="523CBB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p>
    <w:p w14:paraId="6867B88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法定代表人身份证扫描件。</w:t>
      </w:r>
    </w:p>
    <w:p w14:paraId="29AEDEC7">
      <w:pPr>
        <w:spacing w:line="360" w:lineRule="auto"/>
        <w:rPr>
          <w:rFonts w:hint="eastAsia" w:ascii="宋体" w:hAnsi="宋体" w:eastAsia="宋体" w:cs="宋体"/>
          <w:color w:val="auto"/>
          <w:sz w:val="24"/>
          <w:highlight w:val="none"/>
        </w:rPr>
      </w:pPr>
    </w:p>
    <w:p w14:paraId="76E67664">
      <w:pPr>
        <w:spacing w:line="360" w:lineRule="auto"/>
        <w:rPr>
          <w:rFonts w:hint="eastAsia" w:ascii="宋体" w:hAnsi="宋体" w:eastAsia="宋体" w:cs="宋体"/>
          <w:color w:val="auto"/>
          <w:sz w:val="24"/>
          <w:highlight w:val="none"/>
        </w:rPr>
      </w:pPr>
    </w:p>
    <w:p w14:paraId="2268EE4D">
      <w:pPr>
        <w:pStyle w:val="12"/>
        <w:rPr>
          <w:rFonts w:hint="eastAsia" w:ascii="宋体" w:hAnsi="宋体" w:eastAsia="宋体" w:cs="宋体"/>
          <w:color w:val="auto"/>
          <w:sz w:val="24"/>
          <w:highlight w:val="none"/>
        </w:rPr>
      </w:pPr>
    </w:p>
    <w:p w14:paraId="0D9AD732">
      <w:pPr>
        <w:pStyle w:val="13"/>
        <w:rPr>
          <w:rFonts w:hint="eastAsia" w:ascii="宋体" w:hAnsi="宋体" w:eastAsia="宋体" w:cs="宋体"/>
          <w:color w:val="auto"/>
          <w:sz w:val="24"/>
          <w:highlight w:val="none"/>
        </w:rPr>
      </w:pPr>
    </w:p>
    <w:p w14:paraId="28364FFC">
      <w:pPr>
        <w:rPr>
          <w:rFonts w:hint="eastAsia" w:ascii="宋体" w:hAnsi="宋体" w:eastAsia="宋体" w:cs="宋体"/>
          <w:color w:val="auto"/>
          <w:sz w:val="24"/>
          <w:highlight w:val="none"/>
        </w:rPr>
      </w:pPr>
    </w:p>
    <w:p w14:paraId="6FF6E41E">
      <w:pPr>
        <w:pStyle w:val="12"/>
        <w:rPr>
          <w:rFonts w:hint="eastAsia" w:ascii="宋体" w:hAnsi="宋体" w:eastAsia="宋体" w:cs="宋体"/>
          <w:color w:val="auto"/>
          <w:sz w:val="24"/>
          <w:highlight w:val="none"/>
        </w:rPr>
      </w:pPr>
    </w:p>
    <w:p w14:paraId="1C2ED460">
      <w:pPr>
        <w:pStyle w:val="13"/>
        <w:rPr>
          <w:rFonts w:hint="eastAsia"/>
          <w:color w:val="auto"/>
          <w:highlight w:val="none"/>
        </w:rPr>
      </w:pPr>
    </w:p>
    <w:p w14:paraId="35DF3B0E">
      <w:pPr>
        <w:rPr>
          <w:rFonts w:hint="eastAsia"/>
          <w:color w:val="auto"/>
          <w:highlight w:val="none"/>
        </w:rPr>
      </w:pPr>
    </w:p>
    <w:p w14:paraId="5F14981A">
      <w:pPr>
        <w:pStyle w:val="12"/>
        <w:rPr>
          <w:rFonts w:hint="eastAsia"/>
          <w:color w:val="auto"/>
          <w:highlight w:val="none"/>
        </w:rPr>
      </w:pPr>
    </w:p>
    <w:p w14:paraId="3A077513">
      <w:pPr>
        <w:pStyle w:val="13"/>
        <w:rPr>
          <w:rFonts w:hint="eastAsia"/>
          <w:color w:val="auto"/>
          <w:highlight w:val="none"/>
        </w:rPr>
      </w:pPr>
    </w:p>
    <w:p w14:paraId="40E9908B">
      <w:pPr>
        <w:spacing w:line="360" w:lineRule="auto"/>
        <w:rPr>
          <w:rFonts w:hint="eastAsia" w:ascii="宋体" w:hAnsi="宋体" w:eastAsia="宋体" w:cs="宋体"/>
          <w:color w:val="auto"/>
          <w:sz w:val="24"/>
          <w:highlight w:val="none"/>
        </w:rPr>
      </w:pPr>
    </w:p>
    <w:p w14:paraId="01ED8643">
      <w:pPr>
        <w:spacing w:line="360" w:lineRule="auto"/>
        <w:rPr>
          <w:rFonts w:hint="eastAsia" w:ascii="宋体" w:hAnsi="宋体" w:eastAsia="宋体" w:cs="宋体"/>
          <w:color w:val="auto"/>
          <w:sz w:val="24"/>
          <w:highlight w:val="none"/>
        </w:rPr>
      </w:pPr>
    </w:p>
    <w:p w14:paraId="2B059618">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p>
    <w:p w14:paraId="06C4B87A">
      <w:pPr>
        <w:spacing w:line="360" w:lineRule="auto"/>
        <w:jc w:val="right"/>
        <w:rPr>
          <w:rFonts w:hint="eastAsia" w:ascii="宋体" w:hAnsi="宋体" w:eastAsia="宋体" w:cs="宋体"/>
          <w:color w:val="auto"/>
          <w:sz w:val="24"/>
          <w:highlight w:val="none"/>
        </w:rPr>
      </w:pPr>
    </w:p>
    <w:p w14:paraId="17805529">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月</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日</w:t>
      </w:r>
    </w:p>
    <w:p w14:paraId="382445B8">
      <w:pPr>
        <w:spacing w:line="360" w:lineRule="auto"/>
        <w:rPr>
          <w:rFonts w:hint="eastAsia" w:ascii="宋体" w:hAnsi="宋体" w:eastAsia="宋体" w:cs="宋体"/>
          <w:color w:val="auto"/>
          <w:sz w:val="24"/>
          <w:highlight w:val="none"/>
        </w:rPr>
      </w:pPr>
    </w:p>
    <w:p w14:paraId="6757526D">
      <w:pPr>
        <w:spacing w:line="360" w:lineRule="auto"/>
        <w:rPr>
          <w:rFonts w:hint="eastAsia" w:ascii="宋体" w:hAnsi="宋体" w:eastAsia="宋体" w:cs="宋体"/>
          <w:color w:val="auto"/>
          <w:sz w:val="24"/>
          <w:highlight w:val="none"/>
        </w:rPr>
      </w:pPr>
    </w:p>
    <w:p w14:paraId="7B7E08EE">
      <w:pPr>
        <w:spacing w:line="360" w:lineRule="auto"/>
        <w:rPr>
          <w:rFonts w:hint="eastAsia" w:ascii="宋体" w:hAnsi="宋体" w:eastAsia="宋体" w:cs="宋体"/>
          <w:color w:val="auto"/>
          <w:sz w:val="24"/>
          <w:highlight w:val="none"/>
        </w:rPr>
      </w:pPr>
    </w:p>
    <w:p w14:paraId="52177210">
      <w:pPr>
        <w:spacing w:line="360" w:lineRule="auto"/>
        <w:rPr>
          <w:rFonts w:hint="eastAsia" w:ascii="宋体" w:hAnsi="宋体" w:eastAsia="宋体" w:cs="宋体"/>
          <w:color w:val="auto"/>
          <w:sz w:val="24"/>
          <w:highlight w:val="none"/>
        </w:rPr>
      </w:pPr>
    </w:p>
    <w:p w14:paraId="78B122DB">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r>
        <w:rPr>
          <w:rFonts w:hint="eastAsia" w:ascii="宋体" w:hAnsi="宋体" w:eastAsia="宋体" w:cs="宋体"/>
          <w:color w:val="auto"/>
          <w:sz w:val="32"/>
          <w:szCs w:val="28"/>
          <w:highlight w:val="none"/>
          <w:lang w:val="en-US" w:eastAsia="zh-CN"/>
        </w:rPr>
        <w:t>三、授权委托书</w:t>
      </w:r>
    </w:p>
    <w:p w14:paraId="33C970BE">
      <w:pPr>
        <w:spacing w:line="360" w:lineRule="auto"/>
        <w:ind w:firstLine="480" w:firstLineChars="200"/>
        <w:rPr>
          <w:rFonts w:hint="eastAsia" w:ascii="宋体" w:hAnsi="宋体" w:eastAsia="宋体" w:cs="宋体"/>
          <w:color w:val="auto"/>
          <w:sz w:val="24"/>
          <w:highlight w:val="none"/>
        </w:rPr>
      </w:pPr>
    </w:p>
    <w:p w14:paraId="53A51CC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（投标人名称）的法定代表人，现委托</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（姓名）为我方代理人。代理人根据授权，以我方名义签署、澄清确认、递交、撤回、修改</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项目投标文件、签订合同和处理有关事宜，其法律后果由我方承担。</w:t>
      </w:r>
    </w:p>
    <w:p w14:paraId="41280D0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0A34F8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r>
        <w:rPr>
          <w:rFonts w:hint="eastAsia" w:ascii="宋体" w:hAnsi="宋体" w:eastAsia="宋体" w:cs="宋体"/>
          <w:color w:val="auto"/>
          <w:sz w:val="24"/>
          <w:highlight w:val="none"/>
        </w:rPr>
        <w:tab/>
      </w:r>
    </w:p>
    <w:p w14:paraId="11E9C5E6">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64B8F6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附：委托代理人身份证</w:t>
      </w:r>
      <w:r>
        <w:rPr>
          <w:rFonts w:hint="eastAsia" w:ascii="宋体" w:hAnsi="宋体" w:cs="宋体"/>
          <w:color w:val="auto"/>
          <w:sz w:val="24"/>
          <w:highlight w:val="none"/>
          <w:lang w:val="en-US" w:eastAsia="zh-CN"/>
        </w:rPr>
        <w:t>扫描件</w:t>
      </w:r>
      <w:r>
        <w:rPr>
          <w:rFonts w:hint="eastAsia" w:ascii="宋体" w:hAnsi="宋体" w:eastAsia="宋体" w:cs="宋体"/>
          <w:color w:val="auto"/>
          <w:sz w:val="24"/>
          <w:highlight w:val="none"/>
        </w:rPr>
        <w:t>。</w:t>
      </w:r>
    </w:p>
    <w:p w14:paraId="5B3B2EF8">
      <w:pPr>
        <w:spacing w:line="360" w:lineRule="auto"/>
        <w:rPr>
          <w:rFonts w:hint="eastAsia" w:ascii="宋体" w:hAnsi="宋体" w:eastAsia="宋体" w:cs="宋体"/>
          <w:color w:val="auto"/>
          <w:sz w:val="24"/>
          <w:highlight w:val="none"/>
        </w:rPr>
      </w:pPr>
    </w:p>
    <w:p w14:paraId="72F76286">
      <w:pPr>
        <w:spacing w:line="360" w:lineRule="auto"/>
        <w:jc w:val="right"/>
        <w:rPr>
          <w:rFonts w:hint="eastAsia" w:ascii="宋体" w:hAnsi="宋体" w:eastAsia="宋体" w:cs="宋体"/>
          <w:color w:val="auto"/>
          <w:sz w:val="24"/>
          <w:highlight w:val="none"/>
        </w:rPr>
      </w:pPr>
    </w:p>
    <w:p w14:paraId="6E551C58">
      <w:pPr>
        <w:pStyle w:val="12"/>
        <w:rPr>
          <w:rFonts w:hint="eastAsia" w:ascii="宋体" w:hAnsi="宋体" w:eastAsia="宋体" w:cs="宋体"/>
          <w:color w:val="auto"/>
          <w:sz w:val="24"/>
          <w:highlight w:val="none"/>
        </w:rPr>
      </w:pPr>
    </w:p>
    <w:p w14:paraId="55E75CF5">
      <w:pPr>
        <w:pStyle w:val="13"/>
        <w:rPr>
          <w:rFonts w:hint="eastAsia" w:ascii="宋体" w:hAnsi="宋体" w:eastAsia="宋体" w:cs="宋体"/>
          <w:color w:val="auto"/>
          <w:sz w:val="24"/>
          <w:highlight w:val="none"/>
        </w:rPr>
      </w:pPr>
    </w:p>
    <w:p w14:paraId="501BCA36">
      <w:pPr>
        <w:rPr>
          <w:rFonts w:hint="eastAsia" w:ascii="宋体" w:hAnsi="宋体" w:eastAsia="宋体" w:cs="宋体"/>
          <w:color w:val="auto"/>
          <w:sz w:val="24"/>
          <w:highlight w:val="none"/>
        </w:rPr>
      </w:pPr>
    </w:p>
    <w:p w14:paraId="5789522D">
      <w:pPr>
        <w:pStyle w:val="12"/>
        <w:rPr>
          <w:rFonts w:hint="eastAsia"/>
          <w:color w:val="auto"/>
          <w:highlight w:val="none"/>
        </w:rPr>
      </w:pPr>
    </w:p>
    <w:p w14:paraId="64CDD88D">
      <w:pPr>
        <w:spacing w:line="360" w:lineRule="auto"/>
        <w:ind w:firstLine="2400" w:firstLineChars="10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p>
    <w:p w14:paraId="1677F99C">
      <w:pPr>
        <w:spacing w:line="360" w:lineRule="auto"/>
        <w:ind w:firstLine="2400" w:firstLineChars="10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3BF7724A">
      <w:pPr>
        <w:spacing w:line="360" w:lineRule="auto"/>
        <w:ind w:firstLine="2400" w:firstLineChars="1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1283306">
      <w:pPr>
        <w:spacing w:line="360" w:lineRule="auto"/>
        <w:ind w:firstLine="2400" w:firstLineChars="1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（签字或法定代表人签章）            </w:t>
      </w:r>
    </w:p>
    <w:p w14:paraId="2DD8AF6E">
      <w:pPr>
        <w:spacing w:line="360" w:lineRule="auto"/>
        <w:ind w:firstLine="2400" w:firstLineChars="1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46B64DF7">
      <w:pPr>
        <w:spacing w:line="360" w:lineRule="auto"/>
        <w:ind w:left="2400" w:hanging="2400" w:hangingChars="10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委托人联系电话：</w:t>
      </w:r>
      <w:r>
        <w:rPr>
          <w:rFonts w:hint="eastAsia" w:ascii="宋体" w:hAnsi="宋体" w:eastAsia="宋体" w:cs="宋体"/>
          <w:color w:val="auto"/>
          <w:sz w:val="24"/>
          <w:highlight w:val="none"/>
          <w:u w:val="single"/>
        </w:rPr>
        <w:t xml:space="preserve">                                 </w:t>
      </w:r>
    </w:p>
    <w:p w14:paraId="18CC131E">
      <w:pPr>
        <w:spacing w:line="360" w:lineRule="auto"/>
        <w:ind w:left="2400" w:hanging="2400" w:hangingChars="10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p>
    <w:p w14:paraId="00BC390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51F390A4">
      <w:pPr>
        <w:pStyle w:val="41"/>
        <w:rPr>
          <w:rFonts w:hint="eastAsia" w:ascii="宋体" w:hAnsi="宋体" w:eastAsia="宋体" w:cs="宋体"/>
          <w:color w:val="auto"/>
          <w:highlight w:val="none"/>
        </w:rPr>
      </w:pPr>
    </w:p>
    <w:p w14:paraId="553C25BC">
      <w:pPr>
        <w:pStyle w:val="42"/>
        <w:rPr>
          <w:rFonts w:hint="eastAsia" w:ascii="宋体" w:hAnsi="宋体" w:eastAsia="宋体" w:cs="宋体"/>
          <w:color w:val="auto"/>
          <w:highlight w:val="none"/>
        </w:rPr>
      </w:pPr>
    </w:p>
    <w:p w14:paraId="054D5BCA">
      <w:pPr>
        <w:widowControl/>
        <w:adjustRightInd w:val="0"/>
        <w:spacing w:line="360" w:lineRule="auto"/>
        <w:jc w:val="left"/>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注：1、因投标文件中授权委托书授权代理人无法手写签字，可以以印刷体代替（印刷体为电脑打出的字体）或者法定代表人电子签章代替。</w:t>
      </w:r>
    </w:p>
    <w:p w14:paraId="6D8AABF8">
      <w:pPr>
        <w:spacing w:line="360" w:lineRule="auto"/>
        <w:rPr>
          <w:rStyle w:val="69"/>
          <w:rFonts w:hint="eastAsia" w:ascii="宋体" w:hAnsi="宋体" w:cs="宋体"/>
          <w:color w:val="auto"/>
          <w:sz w:val="32"/>
          <w:szCs w:val="36"/>
          <w:highlight w:val="none"/>
          <w:lang w:val="en-US" w:eastAsia="zh-CN"/>
        </w:rPr>
      </w:pPr>
      <w:r>
        <w:rPr>
          <w:rFonts w:hint="eastAsia" w:ascii="宋体" w:hAnsi="宋体" w:eastAsia="宋体" w:cs="宋体"/>
          <w:b/>
          <w:bCs/>
          <w:color w:val="auto"/>
          <w:sz w:val="24"/>
          <w:highlight w:val="none"/>
        </w:rPr>
        <w:t xml:space="preserve">    2、如为法定代表人参与投标，无委托代理人的，投标文件中可以删除此授权委托书。</w:t>
      </w:r>
      <w:bookmarkStart w:id="292" w:name="_Toc505093199"/>
      <w:bookmarkStart w:id="293" w:name="_Toc1668"/>
    </w:p>
    <w:p w14:paraId="4F845E25">
      <w:pPr>
        <w:spacing w:line="360" w:lineRule="auto"/>
        <w:jc w:val="center"/>
        <w:outlineLvl w:val="1"/>
        <w:rPr>
          <w:rFonts w:hint="eastAsia" w:ascii="宋体" w:hAnsi="宋体" w:eastAsia="宋体" w:cs="宋体"/>
          <w:color w:val="auto"/>
          <w:sz w:val="32"/>
          <w:szCs w:val="28"/>
          <w:highlight w:val="none"/>
        </w:rPr>
      </w:pPr>
      <w:r>
        <w:rPr>
          <w:rStyle w:val="69"/>
          <w:rFonts w:hint="eastAsia" w:ascii="宋体" w:hAnsi="宋体" w:cs="宋体"/>
          <w:color w:val="auto"/>
          <w:sz w:val="32"/>
          <w:szCs w:val="36"/>
          <w:highlight w:val="none"/>
          <w:lang w:val="en-US" w:eastAsia="zh-CN"/>
        </w:rPr>
        <w:t>四</w:t>
      </w:r>
      <w:r>
        <w:rPr>
          <w:rStyle w:val="69"/>
          <w:rFonts w:hint="eastAsia" w:ascii="宋体" w:hAnsi="宋体" w:eastAsia="宋体" w:cs="宋体"/>
          <w:color w:val="auto"/>
          <w:sz w:val="32"/>
          <w:szCs w:val="36"/>
          <w:highlight w:val="none"/>
        </w:rPr>
        <w:t>、资格审查资料</w:t>
      </w:r>
      <w:bookmarkEnd w:id="292"/>
      <w:bookmarkEnd w:id="293"/>
    </w:p>
    <w:p w14:paraId="793B1D1B">
      <w:pPr>
        <w:spacing w:line="360" w:lineRule="auto"/>
        <w:ind w:firstLine="120" w:firstLineChars="50"/>
        <w:jc w:val="center"/>
        <w:rPr>
          <w:rFonts w:hint="eastAsia" w:ascii="宋体" w:hAnsi="宋体" w:eastAsia="宋体" w:cs="宋体"/>
          <w:color w:val="auto"/>
          <w:sz w:val="24"/>
          <w:highlight w:val="none"/>
        </w:rPr>
      </w:pPr>
      <w:r>
        <w:rPr>
          <w:rStyle w:val="97"/>
          <w:rFonts w:hint="eastAsia" w:ascii="宋体" w:hAnsi="宋体" w:eastAsia="宋体" w:cs="宋体"/>
          <w:color w:val="auto"/>
          <w:sz w:val="24"/>
          <w:szCs w:val="24"/>
          <w:highlight w:val="none"/>
        </w:rPr>
        <w:t>（一）基本情况表</w:t>
      </w:r>
    </w:p>
    <w:tbl>
      <w:tblPr>
        <w:tblStyle w:val="43"/>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992"/>
        <w:gridCol w:w="2167"/>
        <w:gridCol w:w="1290"/>
        <w:gridCol w:w="2126"/>
      </w:tblGrid>
      <w:tr w14:paraId="5F57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69" w:type="dxa"/>
            <w:vAlign w:val="center"/>
          </w:tcPr>
          <w:p w14:paraId="5408B28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投标人名称</w:t>
            </w:r>
          </w:p>
        </w:tc>
        <w:tc>
          <w:tcPr>
            <w:tcW w:w="6575" w:type="dxa"/>
            <w:gridSpan w:val="4"/>
            <w:vAlign w:val="center"/>
          </w:tcPr>
          <w:p w14:paraId="255845CC">
            <w:pPr>
              <w:spacing w:line="360" w:lineRule="auto"/>
              <w:jc w:val="center"/>
              <w:rPr>
                <w:rFonts w:hint="eastAsia" w:ascii="宋体" w:hAnsi="宋体" w:eastAsia="宋体" w:cs="宋体"/>
                <w:color w:val="auto"/>
                <w:w w:val="98"/>
                <w:sz w:val="24"/>
                <w:highlight w:val="none"/>
              </w:rPr>
            </w:pPr>
          </w:p>
        </w:tc>
      </w:tr>
      <w:tr w14:paraId="7D1C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269" w:type="dxa"/>
            <w:vAlign w:val="center"/>
          </w:tcPr>
          <w:p w14:paraId="1421427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注册地址</w:t>
            </w:r>
          </w:p>
        </w:tc>
        <w:tc>
          <w:tcPr>
            <w:tcW w:w="3159" w:type="dxa"/>
            <w:gridSpan w:val="2"/>
            <w:vAlign w:val="center"/>
          </w:tcPr>
          <w:p w14:paraId="5B009BB9">
            <w:pPr>
              <w:spacing w:line="360" w:lineRule="auto"/>
              <w:jc w:val="center"/>
              <w:rPr>
                <w:rFonts w:hint="eastAsia" w:ascii="宋体" w:hAnsi="宋体" w:eastAsia="宋体" w:cs="宋体"/>
                <w:color w:val="auto"/>
                <w:sz w:val="24"/>
                <w:highlight w:val="none"/>
              </w:rPr>
            </w:pPr>
          </w:p>
        </w:tc>
        <w:tc>
          <w:tcPr>
            <w:tcW w:w="1290" w:type="dxa"/>
            <w:vAlign w:val="center"/>
          </w:tcPr>
          <w:p w14:paraId="1BA2426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2126" w:type="dxa"/>
            <w:vAlign w:val="center"/>
          </w:tcPr>
          <w:p w14:paraId="5126A45F">
            <w:pPr>
              <w:spacing w:line="360" w:lineRule="auto"/>
              <w:jc w:val="center"/>
              <w:rPr>
                <w:rFonts w:hint="eastAsia" w:ascii="宋体" w:hAnsi="宋体" w:eastAsia="宋体" w:cs="宋体"/>
                <w:color w:val="auto"/>
                <w:sz w:val="24"/>
                <w:highlight w:val="none"/>
              </w:rPr>
            </w:pPr>
          </w:p>
        </w:tc>
      </w:tr>
      <w:tr w14:paraId="68CC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2269" w:type="dxa"/>
            <w:vMerge w:val="restart"/>
            <w:vAlign w:val="center"/>
          </w:tcPr>
          <w:p w14:paraId="4A2DF5F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992" w:type="dxa"/>
            <w:vAlign w:val="center"/>
          </w:tcPr>
          <w:p w14:paraId="78C4A8C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c>
          <w:tcPr>
            <w:tcW w:w="2167" w:type="dxa"/>
            <w:vAlign w:val="center"/>
          </w:tcPr>
          <w:p w14:paraId="720D148E">
            <w:pPr>
              <w:spacing w:line="360" w:lineRule="auto"/>
              <w:jc w:val="center"/>
              <w:rPr>
                <w:rFonts w:hint="eastAsia" w:ascii="宋体" w:hAnsi="宋体" w:eastAsia="宋体" w:cs="宋体"/>
                <w:color w:val="auto"/>
                <w:sz w:val="24"/>
                <w:highlight w:val="none"/>
              </w:rPr>
            </w:pPr>
          </w:p>
        </w:tc>
        <w:tc>
          <w:tcPr>
            <w:tcW w:w="1290" w:type="dxa"/>
            <w:vAlign w:val="center"/>
          </w:tcPr>
          <w:p w14:paraId="17B2682E">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联系方式</w:t>
            </w:r>
          </w:p>
        </w:tc>
        <w:tc>
          <w:tcPr>
            <w:tcW w:w="2126" w:type="dxa"/>
            <w:vAlign w:val="center"/>
          </w:tcPr>
          <w:p w14:paraId="1E73382B">
            <w:pPr>
              <w:spacing w:line="360" w:lineRule="auto"/>
              <w:jc w:val="center"/>
              <w:rPr>
                <w:rFonts w:hint="eastAsia" w:ascii="宋体" w:hAnsi="宋体" w:eastAsia="宋体" w:cs="宋体"/>
                <w:color w:val="auto"/>
                <w:sz w:val="24"/>
                <w:highlight w:val="none"/>
              </w:rPr>
            </w:pPr>
          </w:p>
        </w:tc>
      </w:tr>
      <w:tr w14:paraId="5343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2269" w:type="dxa"/>
            <w:vMerge w:val="continue"/>
            <w:vAlign w:val="center"/>
          </w:tcPr>
          <w:p w14:paraId="5250806E">
            <w:pPr>
              <w:spacing w:line="360" w:lineRule="auto"/>
              <w:jc w:val="center"/>
              <w:rPr>
                <w:rFonts w:hint="eastAsia" w:ascii="宋体" w:hAnsi="宋体" w:eastAsia="宋体" w:cs="宋体"/>
                <w:color w:val="auto"/>
                <w:sz w:val="24"/>
                <w:highlight w:val="none"/>
              </w:rPr>
            </w:pPr>
          </w:p>
        </w:tc>
        <w:tc>
          <w:tcPr>
            <w:tcW w:w="992" w:type="dxa"/>
            <w:vAlign w:val="center"/>
          </w:tcPr>
          <w:p w14:paraId="63CFD96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c>
          <w:tcPr>
            <w:tcW w:w="2167" w:type="dxa"/>
            <w:vAlign w:val="center"/>
          </w:tcPr>
          <w:p w14:paraId="0C3A926A">
            <w:pPr>
              <w:spacing w:line="360" w:lineRule="auto"/>
              <w:jc w:val="center"/>
              <w:rPr>
                <w:rFonts w:hint="eastAsia" w:ascii="宋体" w:hAnsi="宋体" w:eastAsia="宋体" w:cs="宋体"/>
                <w:color w:val="auto"/>
                <w:sz w:val="24"/>
                <w:highlight w:val="none"/>
              </w:rPr>
            </w:pPr>
          </w:p>
        </w:tc>
        <w:tc>
          <w:tcPr>
            <w:tcW w:w="1290" w:type="dxa"/>
            <w:vAlign w:val="center"/>
          </w:tcPr>
          <w:p w14:paraId="77BCCE1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网址</w:t>
            </w:r>
          </w:p>
        </w:tc>
        <w:tc>
          <w:tcPr>
            <w:tcW w:w="2126" w:type="dxa"/>
            <w:vAlign w:val="center"/>
          </w:tcPr>
          <w:p w14:paraId="3D47658C">
            <w:pPr>
              <w:spacing w:line="360" w:lineRule="auto"/>
              <w:jc w:val="center"/>
              <w:rPr>
                <w:rFonts w:hint="eastAsia" w:ascii="宋体" w:hAnsi="宋体" w:eastAsia="宋体" w:cs="宋体"/>
                <w:color w:val="auto"/>
                <w:sz w:val="24"/>
                <w:highlight w:val="none"/>
              </w:rPr>
            </w:pPr>
          </w:p>
        </w:tc>
      </w:tr>
      <w:tr w14:paraId="5D81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269" w:type="dxa"/>
            <w:vAlign w:val="center"/>
          </w:tcPr>
          <w:p w14:paraId="19E5FEE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992" w:type="dxa"/>
            <w:vAlign w:val="center"/>
          </w:tcPr>
          <w:p w14:paraId="3FACCE4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167" w:type="dxa"/>
            <w:vAlign w:val="center"/>
          </w:tcPr>
          <w:p w14:paraId="2EC016BA">
            <w:pPr>
              <w:spacing w:line="360" w:lineRule="auto"/>
              <w:jc w:val="center"/>
              <w:rPr>
                <w:rFonts w:hint="eastAsia" w:ascii="宋体" w:hAnsi="宋体" w:eastAsia="宋体" w:cs="宋体"/>
                <w:color w:val="auto"/>
                <w:sz w:val="24"/>
                <w:highlight w:val="none"/>
              </w:rPr>
            </w:pPr>
          </w:p>
        </w:tc>
        <w:tc>
          <w:tcPr>
            <w:tcW w:w="1290" w:type="dxa"/>
            <w:vAlign w:val="center"/>
          </w:tcPr>
          <w:p w14:paraId="2704C4A3">
            <w:p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w:t>
            </w:r>
          </w:p>
        </w:tc>
        <w:tc>
          <w:tcPr>
            <w:tcW w:w="2126" w:type="dxa"/>
            <w:vAlign w:val="center"/>
          </w:tcPr>
          <w:p w14:paraId="0BFBC9B9">
            <w:pPr>
              <w:spacing w:line="360" w:lineRule="auto"/>
              <w:jc w:val="center"/>
              <w:rPr>
                <w:rFonts w:hint="eastAsia" w:ascii="宋体" w:hAnsi="宋体" w:eastAsia="宋体" w:cs="宋体"/>
                <w:color w:val="auto"/>
                <w:w w:val="98"/>
                <w:sz w:val="24"/>
                <w:highlight w:val="none"/>
              </w:rPr>
            </w:pPr>
          </w:p>
        </w:tc>
      </w:tr>
      <w:tr w14:paraId="77A5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2269" w:type="dxa"/>
            <w:vAlign w:val="center"/>
          </w:tcPr>
          <w:p w14:paraId="7EA164B4">
            <w:pPr>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项目</w:t>
            </w:r>
            <w:r>
              <w:rPr>
                <w:rFonts w:hint="eastAsia" w:ascii="宋体" w:hAnsi="宋体" w:eastAsia="宋体" w:cs="宋体"/>
                <w:color w:val="auto"/>
                <w:sz w:val="24"/>
                <w:highlight w:val="none"/>
              </w:rPr>
              <w:t>负责人</w:t>
            </w:r>
          </w:p>
        </w:tc>
        <w:tc>
          <w:tcPr>
            <w:tcW w:w="992" w:type="dxa"/>
            <w:vAlign w:val="center"/>
          </w:tcPr>
          <w:p w14:paraId="213BD1D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167" w:type="dxa"/>
            <w:vAlign w:val="center"/>
          </w:tcPr>
          <w:p w14:paraId="2050E1B3">
            <w:pPr>
              <w:spacing w:line="360" w:lineRule="auto"/>
              <w:jc w:val="center"/>
              <w:rPr>
                <w:rFonts w:hint="eastAsia" w:ascii="宋体" w:hAnsi="宋体" w:eastAsia="宋体" w:cs="宋体"/>
                <w:color w:val="auto"/>
                <w:sz w:val="24"/>
                <w:highlight w:val="none"/>
              </w:rPr>
            </w:pPr>
          </w:p>
        </w:tc>
        <w:tc>
          <w:tcPr>
            <w:tcW w:w="1290" w:type="dxa"/>
            <w:vAlign w:val="center"/>
          </w:tcPr>
          <w:p w14:paraId="1B2D7A0E">
            <w:p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w:t>
            </w:r>
          </w:p>
        </w:tc>
        <w:tc>
          <w:tcPr>
            <w:tcW w:w="2126" w:type="dxa"/>
            <w:vAlign w:val="center"/>
          </w:tcPr>
          <w:p w14:paraId="2F460109">
            <w:pPr>
              <w:spacing w:line="360" w:lineRule="auto"/>
              <w:jc w:val="center"/>
              <w:rPr>
                <w:rFonts w:hint="eastAsia" w:ascii="宋体" w:hAnsi="宋体" w:eastAsia="宋体" w:cs="宋体"/>
                <w:color w:val="auto"/>
                <w:w w:val="98"/>
                <w:sz w:val="24"/>
                <w:highlight w:val="none"/>
              </w:rPr>
            </w:pPr>
          </w:p>
        </w:tc>
      </w:tr>
      <w:tr w14:paraId="3F7A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269" w:type="dxa"/>
            <w:vAlign w:val="center"/>
          </w:tcPr>
          <w:p w14:paraId="0C1203B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营业执照号</w:t>
            </w:r>
          </w:p>
        </w:tc>
        <w:tc>
          <w:tcPr>
            <w:tcW w:w="3159" w:type="dxa"/>
            <w:gridSpan w:val="2"/>
            <w:vAlign w:val="center"/>
          </w:tcPr>
          <w:p w14:paraId="2628128F">
            <w:pPr>
              <w:spacing w:line="360" w:lineRule="auto"/>
              <w:jc w:val="center"/>
              <w:rPr>
                <w:rFonts w:hint="eastAsia" w:ascii="宋体" w:hAnsi="宋体" w:eastAsia="宋体" w:cs="宋体"/>
                <w:color w:val="auto"/>
                <w:sz w:val="24"/>
                <w:highlight w:val="none"/>
              </w:rPr>
            </w:pPr>
          </w:p>
        </w:tc>
        <w:tc>
          <w:tcPr>
            <w:tcW w:w="3416" w:type="dxa"/>
            <w:gridSpan w:val="2"/>
            <w:vAlign w:val="center"/>
          </w:tcPr>
          <w:p w14:paraId="09861778">
            <w:pPr>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员工总人数：</w:t>
            </w:r>
          </w:p>
        </w:tc>
      </w:tr>
      <w:tr w14:paraId="5E0D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69" w:type="dxa"/>
            <w:vAlign w:val="center"/>
          </w:tcPr>
          <w:p w14:paraId="18AD808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6575" w:type="dxa"/>
            <w:gridSpan w:val="4"/>
            <w:vAlign w:val="center"/>
          </w:tcPr>
          <w:p w14:paraId="22735BE5">
            <w:pPr>
              <w:spacing w:line="360" w:lineRule="auto"/>
              <w:jc w:val="center"/>
              <w:rPr>
                <w:rFonts w:hint="eastAsia" w:ascii="宋体" w:hAnsi="宋体" w:eastAsia="宋体" w:cs="宋体"/>
                <w:color w:val="auto"/>
                <w:w w:val="98"/>
                <w:sz w:val="24"/>
                <w:highlight w:val="none"/>
              </w:rPr>
            </w:pPr>
          </w:p>
        </w:tc>
      </w:tr>
      <w:tr w14:paraId="452A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vAlign w:val="center"/>
          </w:tcPr>
          <w:p w14:paraId="089F830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成立日期</w:t>
            </w:r>
          </w:p>
        </w:tc>
        <w:tc>
          <w:tcPr>
            <w:tcW w:w="6575" w:type="dxa"/>
            <w:gridSpan w:val="4"/>
            <w:vAlign w:val="center"/>
          </w:tcPr>
          <w:p w14:paraId="7357D08C">
            <w:pPr>
              <w:spacing w:line="360" w:lineRule="auto"/>
              <w:jc w:val="center"/>
              <w:rPr>
                <w:rFonts w:hint="eastAsia" w:ascii="宋体" w:hAnsi="宋体" w:eastAsia="宋体" w:cs="宋体"/>
                <w:color w:val="auto"/>
                <w:w w:val="98"/>
                <w:sz w:val="24"/>
                <w:highlight w:val="none"/>
              </w:rPr>
            </w:pPr>
          </w:p>
        </w:tc>
      </w:tr>
      <w:tr w14:paraId="707B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269" w:type="dxa"/>
            <w:vAlign w:val="center"/>
          </w:tcPr>
          <w:p w14:paraId="6FF0DC8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基本账户开户银行</w:t>
            </w:r>
          </w:p>
        </w:tc>
        <w:tc>
          <w:tcPr>
            <w:tcW w:w="6575" w:type="dxa"/>
            <w:gridSpan w:val="4"/>
            <w:vAlign w:val="center"/>
          </w:tcPr>
          <w:p w14:paraId="501AD474">
            <w:pPr>
              <w:spacing w:line="360" w:lineRule="auto"/>
              <w:jc w:val="center"/>
              <w:rPr>
                <w:rFonts w:hint="eastAsia" w:ascii="宋体" w:hAnsi="宋体" w:eastAsia="宋体" w:cs="宋体"/>
                <w:color w:val="auto"/>
                <w:w w:val="98"/>
                <w:sz w:val="24"/>
                <w:highlight w:val="none"/>
              </w:rPr>
            </w:pPr>
          </w:p>
        </w:tc>
      </w:tr>
      <w:tr w14:paraId="64D5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269" w:type="dxa"/>
            <w:vAlign w:val="center"/>
          </w:tcPr>
          <w:p w14:paraId="755FE71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基本账户银行账号</w:t>
            </w:r>
          </w:p>
        </w:tc>
        <w:tc>
          <w:tcPr>
            <w:tcW w:w="6575" w:type="dxa"/>
            <w:gridSpan w:val="4"/>
            <w:vAlign w:val="center"/>
          </w:tcPr>
          <w:p w14:paraId="2B2AC68A">
            <w:pPr>
              <w:spacing w:line="360" w:lineRule="auto"/>
              <w:jc w:val="center"/>
              <w:rPr>
                <w:rFonts w:hint="eastAsia" w:ascii="宋体" w:hAnsi="宋体" w:eastAsia="宋体" w:cs="宋体"/>
                <w:color w:val="auto"/>
                <w:w w:val="98"/>
                <w:sz w:val="24"/>
                <w:highlight w:val="none"/>
              </w:rPr>
            </w:pPr>
          </w:p>
        </w:tc>
      </w:tr>
      <w:tr w14:paraId="1D4B0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2269" w:type="dxa"/>
            <w:vAlign w:val="center"/>
          </w:tcPr>
          <w:p w14:paraId="7A0A3960">
            <w:pPr>
              <w:shd w:val="clear" w:color="auto" w:fill="auto"/>
              <w:autoSpaceDE w:val="0"/>
              <w:autoSpaceDN w:val="0"/>
              <w:adjustRightInd w:val="0"/>
              <w:spacing w:line="44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rPr>
              <w:t>组织结构</w:t>
            </w:r>
          </w:p>
        </w:tc>
        <w:tc>
          <w:tcPr>
            <w:tcW w:w="6575" w:type="dxa"/>
            <w:gridSpan w:val="4"/>
            <w:vAlign w:val="center"/>
          </w:tcPr>
          <w:p w14:paraId="36431DAF">
            <w:pPr>
              <w:shd w:val="clear" w:color="auto" w:fill="auto"/>
              <w:autoSpaceDE w:val="0"/>
              <w:autoSpaceDN w:val="0"/>
              <w:adjustRightInd w:val="0"/>
              <w:spacing w:line="440" w:lineRule="exact"/>
              <w:rPr>
                <w:rFonts w:hint="eastAsia" w:ascii="宋体" w:hAnsi="宋体" w:eastAsia="宋体" w:cs="宋体"/>
                <w:color w:val="auto"/>
                <w:w w:val="98"/>
                <w:sz w:val="24"/>
                <w:highlight w:val="none"/>
              </w:rPr>
            </w:pPr>
          </w:p>
        </w:tc>
      </w:tr>
      <w:tr w14:paraId="69B3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2269" w:type="dxa"/>
            <w:vAlign w:val="center"/>
          </w:tcPr>
          <w:p w14:paraId="5AB2266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经营范围</w:t>
            </w:r>
          </w:p>
        </w:tc>
        <w:tc>
          <w:tcPr>
            <w:tcW w:w="6575" w:type="dxa"/>
            <w:gridSpan w:val="4"/>
            <w:vAlign w:val="center"/>
          </w:tcPr>
          <w:p w14:paraId="42B12551">
            <w:pPr>
              <w:spacing w:line="360" w:lineRule="auto"/>
              <w:jc w:val="center"/>
              <w:rPr>
                <w:rFonts w:hint="eastAsia" w:ascii="宋体" w:hAnsi="宋体" w:eastAsia="宋体" w:cs="宋体"/>
                <w:color w:val="auto"/>
                <w:w w:val="98"/>
                <w:sz w:val="24"/>
                <w:highlight w:val="none"/>
              </w:rPr>
            </w:pPr>
          </w:p>
        </w:tc>
      </w:tr>
      <w:tr w14:paraId="52EF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269" w:type="dxa"/>
            <w:vAlign w:val="center"/>
          </w:tcPr>
          <w:p w14:paraId="486D2A2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6575" w:type="dxa"/>
            <w:gridSpan w:val="4"/>
            <w:vAlign w:val="center"/>
          </w:tcPr>
          <w:p w14:paraId="16F59EEB">
            <w:pPr>
              <w:spacing w:line="360" w:lineRule="auto"/>
              <w:jc w:val="center"/>
              <w:rPr>
                <w:rFonts w:hint="eastAsia" w:ascii="宋体" w:hAnsi="宋体" w:eastAsia="宋体" w:cs="宋体"/>
                <w:color w:val="auto"/>
                <w:w w:val="98"/>
                <w:sz w:val="24"/>
                <w:highlight w:val="none"/>
              </w:rPr>
            </w:pPr>
          </w:p>
        </w:tc>
      </w:tr>
    </w:tbl>
    <w:p w14:paraId="54A1518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B7323B4">
      <w:pPr>
        <w:pStyle w:val="98"/>
        <w:numPr>
          <w:ilvl w:val="0"/>
          <w:numId w:val="0"/>
        </w:numPr>
        <w:jc w:val="center"/>
        <w:outlineLvl w:val="1"/>
        <w:rPr>
          <w:rFonts w:hint="eastAsia" w:ascii="宋体" w:hAnsi="宋体" w:cs="宋体"/>
          <w:b w:val="0"/>
          <w:bCs w:val="0"/>
          <w:color w:val="auto"/>
          <w:sz w:val="24"/>
          <w:szCs w:val="28"/>
          <w:highlight w:val="none"/>
          <w:lang w:val="en-US" w:eastAsia="zh-CN"/>
        </w:rPr>
      </w:pPr>
      <w:bookmarkStart w:id="294" w:name="_Toc7894"/>
      <w:r>
        <w:rPr>
          <w:rFonts w:hint="eastAsia" w:ascii="宋体" w:hAnsi="宋体" w:cs="宋体"/>
          <w:b w:val="0"/>
          <w:bCs w:val="0"/>
          <w:color w:val="auto"/>
          <w:sz w:val="24"/>
          <w:szCs w:val="28"/>
          <w:highlight w:val="none"/>
          <w:lang w:val="en-US" w:eastAsia="zh-CN"/>
        </w:rPr>
        <w:t>（二）营业执照</w:t>
      </w:r>
    </w:p>
    <w:p w14:paraId="587C7087">
      <w:pPr>
        <w:spacing w:line="360" w:lineRule="auto"/>
        <w:ind w:firstLine="480" w:firstLineChars="200"/>
        <w:rPr>
          <w:rFonts w:hint="eastAsia" w:ascii="宋体" w:hAnsi="宋体" w:cs="宋体"/>
          <w:b w:val="0"/>
          <w:bCs w:val="0"/>
          <w:color w:val="auto"/>
          <w:sz w:val="24"/>
          <w:szCs w:val="28"/>
          <w:highlight w:val="none"/>
          <w:lang w:val="en-US" w:eastAsia="zh-CN"/>
        </w:rPr>
      </w:pPr>
    </w:p>
    <w:p w14:paraId="3303FA60">
      <w:pPr>
        <w:spacing w:line="360" w:lineRule="auto"/>
        <w:ind w:firstLine="480" w:firstLineChars="200"/>
        <w:rPr>
          <w:rFonts w:hint="default" w:ascii="宋体" w:hAnsi="宋体" w:eastAsia="宋体" w:cs="宋体"/>
          <w:b/>
          <w:bCs/>
          <w:color w:val="auto"/>
          <w:highlight w:val="none"/>
          <w:lang w:val="en-US"/>
        </w:rPr>
      </w:pPr>
      <w:r>
        <w:rPr>
          <w:rFonts w:hint="eastAsia" w:ascii="宋体" w:hAnsi="宋体" w:cs="宋体"/>
          <w:b w:val="0"/>
          <w:bCs w:val="0"/>
          <w:color w:val="auto"/>
          <w:sz w:val="24"/>
          <w:szCs w:val="28"/>
          <w:highlight w:val="none"/>
          <w:lang w:val="en-US" w:eastAsia="zh-CN"/>
        </w:rPr>
        <w:t>投标人须具有有效的营业执照</w:t>
      </w:r>
      <w:r>
        <w:rPr>
          <w:rFonts w:hint="eastAsia" w:ascii="宋体" w:hAnsi="宋体" w:cs="宋体"/>
          <w:b/>
          <w:bCs/>
          <w:color w:val="auto"/>
          <w:sz w:val="24"/>
          <w:szCs w:val="28"/>
          <w:highlight w:val="none"/>
          <w:lang w:val="en-US" w:eastAsia="zh-CN"/>
        </w:rPr>
        <w:t>（</w:t>
      </w:r>
      <w:r>
        <w:rPr>
          <w:rFonts w:ascii="宋体" w:hAnsi="宋体" w:cs="宋体"/>
          <w:b/>
          <w:bCs/>
          <w:color w:val="auto"/>
          <w:sz w:val="24"/>
          <w:highlight w:val="none"/>
        </w:rPr>
        <w:t>本项目允许</w:t>
      </w:r>
      <w:r>
        <w:rPr>
          <w:rFonts w:hint="eastAsia" w:ascii="宋体" w:hAnsi="宋体" w:cs="宋体"/>
          <w:b/>
          <w:bCs/>
          <w:color w:val="auto"/>
          <w:sz w:val="24"/>
          <w:highlight w:val="none"/>
          <w:lang w:val="en-US" w:eastAsia="zh-CN"/>
        </w:rPr>
        <w:t>分公司</w:t>
      </w:r>
      <w:r>
        <w:rPr>
          <w:rFonts w:ascii="宋体" w:hAnsi="宋体" w:cs="宋体"/>
          <w:b/>
          <w:bCs/>
          <w:color w:val="auto"/>
          <w:sz w:val="24"/>
          <w:highlight w:val="none"/>
        </w:rPr>
        <w:t>参与投标</w:t>
      </w:r>
      <w:r>
        <w:rPr>
          <w:rFonts w:hint="eastAsia" w:ascii="宋体" w:hAnsi="宋体" w:cs="宋体"/>
          <w:b/>
          <w:bCs/>
          <w:color w:val="auto"/>
          <w:sz w:val="24"/>
          <w:highlight w:val="none"/>
        </w:rPr>
        <w:t>,</w:t>
      </w:r>
      <w:r>
        <w:rPr>
          <w:rFonts w:ascii="宋体" w:hAnsi="宋体" w:cs="宋体"/>
          <w:b/>
          <w:bCs/>
          <w:color w:val="auto"/>
          <w:sz w:val="24"/>
          <w:highlight w:val="none"/>
        </w:rPr>
        <w:t>可使用其总公司的人员、资质、业绩等</w:t>
      </w:r>
      <w:r>
        <w:rPr>
          <w:rFonts w:hint="eastAsia" w:ascii="宋体" w:hAnsi="宋体" w:cs="宋体"/>
          <w:b/>
          <w:bCs/>
          <w:color w:val="auto"/>
          <w:sz w:val="24"/>
          <w:highlight w:val="none"/>
          <w:lang w:val="en-US" w:eastAsia="zh-CN"/>
        </w:rPr>
        <w:t>材料</w:t>
      </w:r>
      <w:r>
        <w:rPr>
          <w:rFonts w:ascii="宋体" w:hAnsi="宋体" w:cs="宋体"/>
          <w:b/>
          <w:bCs/>
          <w:color w:val="auto"/>
          <w:sz w:val="24"/>
          <w:highlight w:val="none"/>
        </w:rPr>
        <w:t>，</w:t>
      </w:r>
      <w:r>
        <w:rPr>
          <w:rFonts w:hint="eastAsia" w:ascii="宋体" w:hAnsi="宋体"/>
          <w:b/>
          <w:bCs/>
          <w:iCs/>
          <w:color w:val="auto"/>
          <w:sz w:val="24"/>
          <w:highlight w:val="none"/>
        </w:rPr>
        <w:t>须提供其具有独立法人资格的上级总(母)公司对其出具的有效授权</w:t>
      </w:r>
      <w:r>
        <w:rPr>
          <w:rFonts w:hint="eastAsia" w:ascii="宋体" w:hAnsi="宋体"/>
          <w:b/>
          <w:bCs/>
          <w:iCs/>
          <w:color w:val="auto"/>
          <w:sz w:val="24"/>
          <w:highlight w:val="none"/>
          <w:lang w:val="en-US" w:eastAsia="zh-CN"/>
        </w:rPr>
        <w:t>书</w:t>
      </w:r>
      <w:r>
        <w:rPr>
          <w:rFonts w:hint="eastAsia" w:ascii="宋体" w:hAnsi="宋体"/>
          <w:b/>
          <w:bCs/>
          <w:iCs/>
          <w:color w:val="auto"/>
          <w:sz w:val="24"/>
          <w:highlight w:val="none"/>
        </w:rPr>
        <w:t>。同一公司的不同分(子)公司,不得同时参加本项目投标</w:t>
      </w:r>
      <w:r>
        <w:rPr>
          <w:rFonts w:hint="eastAsia" w:ascii="宋体" w:hAnsi="宋体" w:cs="宋体"/>
          <w:b/>
          <w:bCs/>
          <w:color w:val="auto"/>
          <w:sz w:val="24"/>
          <w:szCs w:val="28"/>
          <w:highlight w:val="none"/>
          <w:lang w:val="en-US" w:eastAsia="zh-CN"/>
        </w:rPr>
        <w:t>）；</w:t>
      </w:r>
    </w:p>
    <w:p w14:paraId="2307E136">
      <w:pPr>
        <w:numPr>
          <w:ilvl w:val="0"/>
          <w:numId w:val="0"/>
        </w:numPr>
        <w:rPr>
          <w:rFonts w:hint="eastAsia"/>
          <w:color w:val="auto"/>
          <w:highlight w:val="none"/>
          <w:lang w:val="en-US" w:eastAsia="zh-CN"/>
        </w:rPr>
      </w:pPr>
    </w:p>
    <w:p w14:paraId="5D31A728">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394EBAA3">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384D4028">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6D19D361">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69278904">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35B97393">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3E567A20">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087283B4">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0F7E10B4">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78E35E28">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6DB04F0C">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4835A2F0">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30CC5171">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330A7E5D">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213D5C13">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312CF83E">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634CF188">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5906C4D4">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28042A8F">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4CED85C1">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78A42267">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32565B4E">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39AFE20A">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282CC25A">
      <w:pPr>
        <w:pStyle w:val="98"/>
        <w:numPr>
          <w:ilvl w:val="0"/>
          <w:numId w:val="0"/>
        </w:numPr>
        <w:jc w:val="both"/>
        <w:outlineLvl w:val="1"/>
        <w:rPr>
          <w:rFonts w:hint="eastAsia" w:ascii="宋体" w:hAnsi="宋体" w:cs="宋体"/>
          <w:b w:val="0"/>
          <w:bCs w:val="0"/>
          <w:color w:val="auto"/>
          <w:sz w:val="24"/>
          <w:szCs w:val="28"/>
          <w:highlight w:val="none"/>
          <w:lang w:val="en-US" w:eastAsia="zh-CN"/>
        </w:rPr>
      </w:pPr>
    </w:p>
    <w:p w14:paraId="1CF15AD8">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cs="宋体"/>
          <w:b w:val="0"/>
          <w:bCs w:val="0"/>
          <w:color w:val="auto"/>
          <w:sz w:val="24"/>
          <w:szCs w:val="28"/>
          <w:highlight w:val="none"/>
          <w:lang w:val="en-US" w:eastAsia="zh-CN"/>
        </w:rPr>
      </w:pPr>
      <w:r>
        <w:rPr>
          <w:rFonts w:hint="eastAsia" w:ascii="宋体" w:hAnsi="宋体" w:cs="宋体"/>
          <w:b w:val="0"/>
          <w:bCs w:val="0"/>
          <w:color w:val="auto"/>
          <w:sz w:val="24"/>
          <w:szCs w:val="28"/>
          <w:highlight w:val="none"/>
          <w:lang w:val="en-US" w:eastAsia="zh-CN"/>
        </w:rPr>
        <w:t>（三）</w:t>
      </w:r>
      <w:r>
        <w:rPr>
          <w:rFonts w:hint="eastAsia" w:ascii="宋体" w:hAnsi="宋体" w:eastAsia="宋体" w:cs="宋体"/>
          <w:b w:val="0"/>
          <w:bCs w:val="0"/>
          <w:color w:val="auto"/>
          <w:sz w:val="24"/>
          <w:highlight w:val="none"/>
          <w:lang w:val="en-US" w:eastAsia="zh-CN"/>
        </w:rPr>
        <w:t>无商业贿赂及无不正当竞争行为的承诺书和无</w:t>
      </w:r>
      <w:r>
        <w:rPr>
          <w:rFonts w:hint="eastAsia" w:ascii="宋体" w:hAnsi="宋体" w:cs="宋体"/>
          <w:b w:val="0"/>
          <w:bCs w:val="0"/>
          <w:color w:val="auto"/>
          <w:sz w:val="24"/>
          <w:highlight w:val="none"/>
          <w:lang w:val="en-US" w:eastAsia="zh-CN"/>
        </w:rPr>
        <w:t>重大违法记录承诺书</w:t>
      </w:r>
    </w:p>
    <w:p w14:paraId="4CB689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lang w:val="en-US" w:eastAsia="zh-CN"/>
        </w:rPr>
      </w:pPr>
    </w:p>
    <w:p w14:paraId="72CB97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投标人须自行出具本单位无商业贿赂及无不正当竞争行为的承诺书</w:t>
      </w:r>
      <w:r>
        <w:rPr>
          <w:rFonts w:hint="eastAsia" w:ascii="宋体" w:hAnsi="宋体" w:cs="宋体"/>
          <w:b w:val="0"/>
          <w:bCs w:val="0"/>
          <w:color w:val="auto"/>
          <w:sz w:val="24"/>
          <w:highlight w:val="none"/>
          <w:lang w:val="en-US" w:eastAsia="zh-CN"/>
        </w:rPr>
        <w:t>和参加政府采购活动前三年内在经营活动中没有重大违法记录承诺书</w:t>
      </w:r>
      <w:r>
        <w:rPr>
          <w:rFonts w:hint="eastAsia" w:ascii="宋体" w:hAnsi="宋体" w:eastAsia="宋体" w:cs="宋体"/>
          <w:b w:val="0"/>
          <w:bCs w:val="0"/>
          <w:color w:val="auto"/>
          <w:sz w:val="24"/>
          <w:highlight w:val="none"/>
          <w:lang w:val="en-US" w:eastAsia="zh-CN"/>
        </w:rPr>
        <w:t>；</w:t>
      </w:r>
    </w:p>
    <w:p w14:paraId="0D92E9B9">
      <w:pPr>
        <w:pStyle w:val="98"/>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1"/>
        <w:rPr>
          <w:rFonts w:hint="eastAsia" w:ascii="宋体" w:hAnsi="宋体" w:cs="宋体"/>
          <w:b w:val="0"/>
          <w:bCs w:val="0"/>
          <w:color w:val="auto"/>
          <w:sz w:val="24"/>
          <w:szCs w:val="28"/>
          <w:highlight w:val="none"/>
          <w:lang w:val="en-US" w:eastAsia="zh-CN"/>
        </w:rPr>
      </w:pPr>
    </w:p>
    <w:p w14:paraId="31E4D3F4">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6F6977DC">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7111B83C">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316DC7B7">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74F307FA">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69779EC8">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7C675DCB">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7479AD85">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086156F4">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5C836DC1">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471FCA4E">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23824141">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23C89F03">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4243433A">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2061A774">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455A8214">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754A6C2A">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483385E2">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034E388A">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5AABF030">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3EDA5D74">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19CD66A6">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2BACFB64">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78522948">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0DE16A14">
      <w:pPr>
        <w:pStyle w:val="98"/>
        <w:numPr>
          <w:ilvl w:val="0"/>
          <w:numId w:val="0"/>
        </w:numPr>
        <w:jc w:val="both"/>
        <w:outlineLvl w:val="1"/>
        <w:rPr>
          <w:rFonts w:hint="eastAsia" w:ascii="宋体" w:hAnsi="宋体" w:cs="宋体"/>
          <w:b w:val="0"/>
          <w:bCs w:val="0"/>
          <w:color w:val="auto"/>
          <w:sz w:val="24"/>
          <w:szCs w:val="28"/>
          <w:highlight w:val="none"/>
          <w:lang w:val="en-US" w:eastAsia="zh-CN"/>
        </w:rPr>
      </w:pPr>
    </w:p>
    <w:p w14:paraId="7245A5A6">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cs="宋体"/>
          <w:b w:val="0"/>
          <w:bCs w:val="0"/>
          <w:color w:val="auto"/>
          <w:sz w:val="24"/>
          <w:szCs w:val="28"/>
          <w:highlight w:val="none"/>
          <w:lang w:val="en-US" w:eastAsia="zh-CN"/>
        </w:rPr>
      </w:pPr>
      <w:r>
        <w:rPr>
          <w:rFonts w:hint="eastAsia" w:ascii="宋体" w:hAnsi="宋体" w:cs="宋体"/>
          <w:b w:val="0"/>
          <w:bCs w:val="0"/>
          <w:color w:val="auto"/>
          <w:sz w:val="24"/>
          <w:szCs w:val="28"/>
          <w:highlight w:val="none"/>
          <w:lang w:val="en-US" w:eastAsia="zh-CN"/>
        </w:rPr>
        <w:t>（四）网站查询截图</w:t>
      </w:r>
    </w:p>
    <w:p w14:paraId="7BB950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highlight w:val="none"/>
          <w:lang w:val="en-US" w:eastAsia="zh-CN"/>
        </w:rPr>
      </w:pPr>
    </w:p>
    <w:p w14:paraId="6A568F3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val="0"/>
          <w:bCs w:val="0"/>
          <w:color w:val="auto"/>
          <w:sz w:val="24"/>
          <w:highlight w:val="none"/>
          <w:lang w:val="en-US" w:eastAsia="zh-CN"/>
        </w:rPr>
        <w:t>根据</w:t>
      </w:r>
      <w:r>
        <w:rPr>
          <w:rFonts w:hint="eastAsia" w:ascii="宋体" w:hAnsi="宋体" w:eastAsia="宋体" w:cs="宋体"/>
          <w:b w:val="0"/>
          <w:bCs w:val="0"/>
          <w:color w:val="auto"/>
          <w:sz w:val="24"/>
          <w:highlight w:val="none"/>
          <w:lang w:val="en-US" w:eastAsia="zh-CN" w:bidi="ar"/>
        </w:rPr>
        <w:t>《</w:t>
      </w:r>
      <w:r>
        <w:rPr>
          <w:rFonts w:hint="eastAsia" w:ascii="宋体" w:hAnsi="宋体" w:eastAsia="宋体" w:cs="宋体"/>
          <w:color w:val="auto"/>
          <w:sz w:val="24"/>
          <w:highlight w:val="none"/>
          <w:lang w:val="en-US" w:eastAsia="zh-CN" w:bidi="ar"/>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color w:val="auto"/>
          <w:sz w:val="24"/>
          <w:highlight w:val="none"/>
          <w:lang w:val="en-US" w:eastAsia="zh-CN" w:bidi="ar"/>
        </w:rPr>
        <w:t>投标人</w:t>
      </w:r>
      <w:r>
        <w:rPr>
          <w:rFonts w:hint="eastAsia" w:ascii="宋体" w:hAnsi="宋体" w:eastAsia="宋体" w:cs="宋体"/>
          <w:color w:val="auto"/>
          <w:sz w:val="24"/>
          <w:highlight w:val="none"/>
          <w:lang w:val="en-US" w:eastAsia="zh-CN" w:bidi="ar"/>
        </w:rPr>
        <w:t>，拒绝参与本项目采购活动；</w:t>
      </w:r>
      <w:r>
        <w:rPr>
          <w:rFonts w:hint="eastAsia" w:ascii="宋体" w:hAnsi="宋体" w:cs="宋体"/>
          <w:color w:val="auto"/>
          <w:sz w:val="24"/>
          <w:highlight w:val="none"/>
          <w:lang w:val="en-US" w:eastAsia="zh-CN"/>
        </w:rPr>
        <w:t>查询渠道</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①</w:t>
      </w:r>
      <w:r>
        <w:rPr>
          <w:rFonts w:hint="eastAsia" w:ascii="宋体" w:hAnsi="宋体" w:cs="宋体"/>
          <w:color w:val="auto"/>
          <w:sz w:val="24"/>
          <w:highlight w:val="none"/>
          <w:lang w:val="en-US" w:eastAsia="zh-CN"/>
        </w:rPr>
        <w:t>中国执行信息公开网（</w:t>
      </w:r>
      <w:r>
        <w:rPr>
          <w:rFonts w:hint="eastAsia" w:asciiTheme="minorEastAsia" w:hAnsiTheme="minorEastAsia" w:eastAsiaTheme="minorEastAsia" w:cstheme="minorEastAsia"/>
          <w:color w:val="auto"/>
          <w:sz w:val="24"/>
          <w:szCs w:val="24"/>
          <w:highlight w:val="none"/>
          <w:lang w:val="en-US" w:eastAsia="zh-CN"/>
        </w:rPr>
        <w:t>https://zxgk.court.gov.cn/shixin</w:t>
      </w:r>
      <w:r>
        <w:rPr>
          <w:rFonts w:hint="eastAsia" w:ascii="宋体" w:hAnsi="宋体" w:cs="宋体"/>
          <w:color w:val="auto"/>
          <w:sz w:val="24"/>
          <w:highlight w:val="none"/>
          <w:lang w:val="en-US" w:eastAsia="zh-CN"/>
        </w:rPr>
        <w:t>）查询内容：失信被执行人</w:t>
      </w:r>
      <w:r>
        <w:rPr>
          <w:rFonts w:hint="eastAsia" w:ascii="宋体" w:hAnsi="宋体" w:eastAsia="宋体" w:cs="宋体"/>
          <w:color w:val="auto"/>
          <w:sz w:val="24"/>
          <w:highlight w:val="none"/>
          <w:lang w:val="en-US" w:eastAsia="zh-CN"/>
        </w:rPr>
        <w:t>；</w:t>
      </w:r>
      <w:r>
        <w:rPr>
          <w:rFonts w:hint="default" w:ascii="宋体" w:hAnsi="宋体" w:eastAsia="宋体" w:cs="宋体"/>
          <w:color w:val="auto"/>
          <w:sz w:val="24"/>
          <w:highlight w:val="none"/>
          <w:lang w:val="en-US" w:eastAsia="zh-CN"/>
        </w:rPr>
        <w:t>②</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信用中国”网站（</w:t>
      </w:r>
      <w:r>
        <w:rPr>
          <w:rFonts w:hint="eastAsia" w:asciiTheme="minorEastAsia" w:hAnsiTheme="minorEastAsia" w:eastAsiaTheme="minorEastAsia" w:cstheme="minorEastAsia"/>
          <w:color w:val="auto"/>
          <w:sz w:val="24"/>
          <w:szCs w:val="24"/>
          <w:highlight w:val="none"/>
          <w:lang w:val="en-US" w:eastAsia="zh-CN"/>
        </w:rPr>
        <w:t>https://www.creditchina.gov.cn/zhuanxiangchaxun/</w:t>
      </w:r>
      <w:r>
        <w:rPr>
          <w:rFonts w:hint="eastAsia" w:ascii="宋体" w:hAnsi="宋体" w:cs="宋体"/>
          <w:color w:val="auto"/>
          <w:sz w:val="24"/>
          <w:highlight w:val="none"/>
          <w:lang w:val="en-US" w:eastAsia="zh-CN"/>
        </w:rPr>
        <w:t>），查询内容：重大税收违法失信主体；</w:t>
      </w:r>
      <w:r>
        <w:rPr>
          <w:rFonts w:hint="default" w:ascii="宋体" w:hAnsi="宋体" w:eastAsia="宋体" w:cs="宋体"/>
          <w:color w:val="auto"/>
          <w:sz w:val="24"/>
          <w:highlight w:val="none"/>
          <w:lang w:val="en-US" w:eastAsia="zh-CN"/>
        </w:rPr>
        <w:t>③</w:t>
      </w:r>
      <w:r>
        <w:rPr>
          <w:rFonts w:hint="eastAsia" w:ascii="宋体" w:hAnsi="宋体" w:eastAsia="宋体" w:cs="宋体"/>
          <w:color w:val="auto"/>
          <w:sz w:val="24"/>
          <w:highlight w:val="none"/>
          <w:lang w:val="en-US" w:eastAsia="zh-CN"/>
        </w:rPr>
        <w:t>中</w:t>
      </w:r>
      <w:r>
        <w:rPr>
          <w:rFonts w:hint="eastAsia" w:ascii="宋体" w:hAnsi="宋体" w:cs="宋体"/>
          <w:color w:val="auto"/>
          <w:sz w:val="24"/>
          <w:highlight w:val="none"/>
          <w:lang w:val="en-US" w:eastAsia="zh-CN"/>
        </w:rPr>
        <w:t>国政府采购网（</w:t>
      </w:r>
      <w:r>
        <w:rPr>
          <w:rFonts w:hint="eastAsia" w:asciiTheme="minorEastAsia" w:hAnsiTheme="minorEastAsia" w:eastAsiaTheme="minorEastAsia" w:cstheme="minorEastAsia"/>
          <w:color w:val="auto"/>
          <w:sz w:val="24"/>
          <w:szCs w:val="24"/>
          <w:highlight w:val="none"/>
          <w:lang w:val="en-US" w:eastAsia="zh-CN"/>
        </w:rPr>
        <w:t>www.ccgp.gov.cn</w:t>
      </w:r>
      <w:r>
        <w:rPr>
          <w:rFonts w:hint="eastAsia" w:ascii="宋体" w:hAnsi="宋体" w:cs="宋体"/>
          <w:color w:val="auto"/>
          <w:sz w:val="24"/>
          <w:highlight w:val="none"/>
          <w:lang w:val="en-US" w:eastAsia="zh-CN"/>
        </w:rPr>
        <w:t>）查询内容：政府采购严重违法失信行为记录名单。投标人须提供中国执行信息公开网查询页、信用中国查询页、中国政府采购网查询页的</w:t>
      </w:r>
      <w:r>
        <w:rPr>
          <w:rFonts w:hint="eastAsia" w:ascii="宋体" w:hAnsi="宋体" w:cs="宋体"/>
          <w:b/>
          <w:bCs/>
          <w:color w:val="auto"/>
          <w:sz w:val="24"/>
          <w:highlight w:val="none"/>
          <w:lang w:val="en-US" w:eastAsia="zh-CN"/>
        </w:rPr>
        <w:t>查询结果截图</w:t>
      </w:r>
      <w:r>
        <w:rPr>
          <w:rFonts w:hint="eastAsia" w:ascii="宋体" w:hAnsi="宋体"/>
          <w:color w:val="auto"/>
          <w:sz w:val="24"/>
          <w:szCs w:val="24"/>
          <w:highlight w:val="none"/>
          <w:u w:color="000000"/>
        </w:rPr>
        <w:t>，</w:t>
      </w:r>
      <w:r>
        <w:rPr>
          <w:rFonts w:hint="eastAsia" w:ascii="宋体" w:hAnsi="宋体"/>
          <w:b/>
          <w:bCs/>
          <w:color w:val="auto"/>
          <w:sz w:val="24"/>
          <w:szCs w:val="24"/>
          <w:highlight w:val="none"/>
          <w:u w:color="000000"/>
        </w:rPr>
        <w:t>查询日期为本公告发布之日起，网站截图应含有日期</w:t>
      </w:r>
      <w:r>
        <w:rPr>
          <w:rFonts w:hint="eastAsia" w:ascii="宋体" w:hAnsi="宋体" w:eastAsia="宋体" w:cs="宋体"/>
          <w:b/>
          <w:bCs/>
          <w:color w:val="auto"/>
          <w:sz w:val="24"/>
          <w:szCs w:val="24"/>
          <w:highlight w:val="none"/>
          <w:lang w:val="en-US" w:eastAsia="zh-CN"/>
        </w:rPr>
        <w:t>且显示查询结果</w:t>
      </w:r>
      <w:r>
        <w:rPr>
          <w:rFonts w:hint="eastAsia" w:ascii="宋体" w:hAnsi="宋体" w:eastAsia="宋体" w:cs="宋体"/>
          <w:b/>
          <w:bCs/>
          <w:color w:val="auto"/>
          <w:sz w:val="24"/>
          <w:highlight w:val="none"/>
          <w:lang w:val="en-US" w:eastAsia="zh-CN"/>
        </w:rPr>
        <w:t>；</w:t>
      </w:r>
    </w:p>
    <w:p w14:paraId="59CD3B66">
      <w:pPr>
        <w:pStyle w:val="98"/>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outlineLvl w:val="1"/>
        <w:rPr>
          <w:rFonts w:hint="eastAsia" w:ascii="宋体" w:hAnsi="宋体" w:cs="宋体"/>
          <w:b w:val="0"/>
          <w:bCs w:val="0"/>
          <w:color w:val="auto"/>
          <w:sz w:val="24"/>
          <w:szCs w:val="28"/>
          <w:highlight w:val="none"/>
          <w:lang w:val="en-US" w:eastAsia="zh-CN"/>
        </w:rPr>
      </w:pPr>
    </w:p>
    <w:p w14:paraId="39108B6D">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36BE35B8">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346E5453">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3F8D0287">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420B291A">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6C4B9529">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4B7E80D5">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7B4E615C">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43A8DE0D">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28541C7F">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60882AE9">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343229BE">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533F5E4C">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335011B2">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4BB23A5D">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5EF0584C">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64610789">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105FC6F3">
      <w:pPr>
        <w:pStyle w:val="98"/>
        <w:numPr>
          <w:ilvl w:val="0"/>
          <w:numId w:val="0"/>
        </w:numPr>
        <w:jc w:val="center"/>
        <w:outlineLvl w:val="1"/>
        <w:rPr>
          <w:rFonts w:hint="eastAsia" w:ascii="宋体" w:hAnsi="宋体" w:cs="宋体"/>
          <w:b w:val="0"/>
          <w:bCs w:val="0"/>
          <w:color w:val="auto"/>
          <w:sz w:val="24"/>
          <w:szCs w:val="28"/>
          <w:highlight w:val="none"/>
          <w:lang w:val="en-US" w:eastAsia="zh-CN"/>
        </w:rPr>
      </w:pPr>
    </w:p>
    <w:p w14:paraId="4C77AC61">
      <w:pPr>
        <w:pStyle w:val="98"/>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z w:val="32"/>
          <w:szCs w:val="28"/>
          <w:highlight w:val="none"/>
          <w:lang w:val="en-US" w:eastAsia="zh-CN"/>
        </w:rPr>
      </w:pPr>
      <w:r>
        <w:rPr>
          <w:rFonts w:hint="eastAsia" w:ascii="宋体" w:hAnsi="宋体" w:cs="宋体"/>
          <w:b w:val="0"/>
          <w:bCs w:val="0"/>
          <w:color w:val="auto"/>
          <w:sz w:val="24"/>
          <w:szCs w:val="28"/>
          <w:highlight w:val="none"/>
          <w:lang w:val="en-US" w:eastAsia="zh-CN"/>
        </w:rPr>
        <w:t>（五）</w:t>
      </w:r>
      <w:r>
        <w:rPr>
          <w:rFonts w:hint="eastAsia" w:ascii="宋体" w:hAnsi="宋体" w:eastAsia="宋体" w:cs="宋体"/>
          <w:b w:val="0"/>
          <w:bCs w:val="0"/>
          <w:color w:val="auto"/>
          <w:sz w:val="24"/>
          <w:highlight w:val="none"/>
          <w:lang w:val="en-US" w:eastAsia="zh-CN"/>
        </w:rPr>
        <w:t>非联合体承诺书</w:t>
      </w:r>
    </w:p>
    <w:p w14:paraId="701728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highlight w:val="none"/>
          <w:lang w:val="en-US" w:eastAsia="zh-CN"/>
        </w:rPr>
      </w:pPr>
    </w:p>
    <w:p w14:paraId="43E4C8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32"/>
          <w:szCs w:val="28"/>
          <w:highlight w:val="none"/>
          <w:lang w:val="en-US" w:eastAsia="zh-CN"/>
        </w:rPr>
      </w:pPr>
      <w:r>
        <w:rPr>
          <w:rFonts w:hint="eastAsia" w:ascii="宋体" w:hAnsi="宋体" w:eastAsia="宋体" w:cs="宋体"/>
          <w:b w:val="0"/>
          <w:bCs w:val="0"/>
          <w:color w:val="auto"/>
          <w:sz w:val="24"/>
          <w:highlight w:val="none"/>
          <w:lang w:val="en-US" w:eastAsia="zh-CN"/>
        </w:rPr>
        <w:t>本次采购不接受联合体</w:t>
      </w:r>
      <w:r>
        <w:rPr>
          <w:rFonts w:hint="eastAsia" w:ascii="宋体" w:hAnsi="宋体" w:cs="宋体"/>
          <w:b w:val="0"/>
          <w:bCs w:val="0"/>
          <w:color w:val="auto"/>
          <w:sz w:val="24"/>
          <w:highlight w:val="none"/>
          <w:lang w:val="en-US" w:eastAsia="zh-CN"/>
        </w:rPr>
        <w:t>投标</w:t>
      </w:r>
      <w:r>
        <w:rPr>
          <w:rFonts w:hint="eastAsia" w:ascii="宋体" w:hAnsi="宋体" w:eastAsia="宋体" w:cs="宋体"/>
          <w:b w:val="0"/>
          <w:bCs w:val="0"/>
          <w:color w:val="auto"/>
          <w:sz w:val="24"/>
          <w:highlight w:val="none"/>
          <w:lang w:val="en-US" w:eastAsia="zh-CN"/>
        </w:rPr>
        <w:t>，</w:t>
      </w:r>
      <w:r>
        <w:rPr>
          <w:rFonts w:hint="eastAsia" w:ascii="宋体" w:hAnsi="宋体" w:cs="宋体"/>
          <w:b w:val="0"/>
          <w:bCs w:val="0"/>
          <w:color w:val="auto"/>
          <w:sz w:val="24"/>
          <w:highlight w:val="none"/>
          <w:lang w:val="en-US" w:eastAsia="zh-CN"/>
        </w:rPr>
        <w:t>投标人</w:t>
      </w:r>
      <w:r>
        <w:rPr>
          <w:rFonts w:hint="eastAsia" w:ascii="宋体" w:hAnsi="宋体" w:eastAsia="宋体" w:cs="宋体"/>
          <w:b w:val="0"/>
          <w:bCs w:val="0"/>
          <w:color w:val="auto"/>
          <w:sz w:val="24"/>
          <w:highlight w:val="none"/>
          <w:lang w:val="en-US" w:eastAsia="zh-CN"/>
        </w:rPr>
        <w:t>需提供非联合体承诺书（承诺书格式自拟）</w:t>
      </w:r>
    </w:p>
    <w:p w14:paraId="3CEE45AE">
      <w:pPr>
        <w:pStyle w:val="12"/>
        <w:rPr>
          <w:rFonts w:hint="eastAsia" w:ascii="宋体" w:hAnsi="宋体" w:eastAsia="宋体" w:cs="宋体"/>
          <w:b/>
          <w:color w:val="auto"/>
          <w:sz w:val="32"/>
          <w:szCs w:val="28"/>
          <w:highlight w:val="none"/>
          <w:lang w:val="en-US" w:eastAsia="zh-CN"/>
        </w:rPr>
      </w:pPr>
    </w:p>
    <w:p w14:paraId="58D20197">
      <w:pPr>
        <w:pStyle w:val="13"/>
        <w:rPr>
          <w:rFonts w:hint="eastAsia"/>
          <w:color w:val="auto"/>
          <w:highlight w:val="none"/>
          <w:lang w:val="en-US" w:eastAsia="zh-CN"/>
        </w:rPr>
      </w:pPr>
    </w:p>
    <w:p w14:paraId="5D605687">
      <w:pPr>
        <w:rPr>
          <w:rFonts w:hint="eastAsia"/>
          <w:color w:val="auto"/>
          <w:highlight w:val="none"/>
          <w:lang w:val="en-US" w:eastAsia="zh-CN"/>
        </w:rPr>
      </w:pPr>
    </w:p>
    <w:p w14:paraId="01CB61E1">
      <w:pPr>
        <w:pStyle w:val="12"/>
        <w:rPr>
          <w:rFonts w:hint="eastAsia"/>
          <w:color w:val="auto"/>
          <w:highlight w:val="none"/>
          <w:lang w:val="en-US" w:eastAsia="zh-CN"/>
        </w:rPr>
      </w:pPr>
    </w:p>
    <w:p w14:paraId="790F6580">
      <w:pPr>
        <w:pStyle w:val="13"/>
        <w:rPr>
          <w:rFonts w:hint="eastAsia"/>
          <w:color w:val="auto"/>
          <w:highlight w:val="none"/>
          <w:lang w:val="en-US" w:eastAsia="zh-CN"/>
        </w:rPr>
      </w:pPr>
    </w:p>
    <w:p w14:paraId="300DDD69">
      <w:pPr>
        <w:rPr>
          <w:rFonts w:hint="eastAsia"/>
          <w:color w:val="auto"/>
          <w:highlight w:val="none"/>
          <w:lang w:val="en-US" w:eastAsia="zh-CN"/>
        </w:rPr>
      </w:pPr>
    </w:p>
    <w:p w14:paraId="6C61DC95">
      <w:pPr>
        <w:pStyle w:val="12"/>
        <w:rPr>
          <w:rFonts w:hint="eastAsia"/>
          <w:color w:val="auto"/>
          <w:highlight w:val="none"/>
          <w:lang w:val="en-US" w:eastAsia="zh-CN"/>
        </w:rPr>
      </w:pPr>
    </w:p>
    <w:p w14:paraId="41AB7F09">
      <w:pPr>
        <w:pStyle w:val="13"/>
        <w:rPr>
          <w:rFonts w:hint="eastAsia"/>
          <w:color w:val="auto"/>
          <w:highlight w:val="none"/>
          <w:lang w:val="en-US" w:eastAsia="zh-CN"/>
        </w:rPr>
      </w:pPr>
    </w:p>
    <w:p w14:paraId="690FC7A2">
      <w:pPr>
        <w:rPr>
          <w:rFonts w:hint="eastAsia"/>
          <w:color w:val="auto"/>
          <w:highlight w:val="none"/>
          <w:lang w:val="en-US" w:eastAsia="zh-CN"/>
        </w:rPr>
      </w:pPr>
    </w:p>
    <w:p w14:paraId="314822AB">
      <w:pPr>
        <w:pStyle w:val="12"/>
        <w:rPr>
          <w:rFonts w:hint="eastAsia"/>
          <w:color w:val="auto"/>
          <w:highlight w:val="none"/>
          <w:lang w:val="en-US" w:eastAsia="zh-CN"/>
        </w:rPr>
      </w:pPr>
    </w:p>
    <w:p w14:paraId="02E8CF70">
      <w:pPr>
        <w:pStyle w:val="13"/>
        <w:rPr>
          <w:rFonts w:hint="eastAsia"/>
          <w:color w:val="auto"/>
          <w:highlight w:val="none"/>
          <w:lang w:val="en-US" w:eastAsia="zh-CN"/>
        </w:rPr>
      </w:pPr>
    </w:p>
    <w:p w14:paraId="66432E40">
      <w:pPr>
        <w:rPr>
          <w:rFonts w:hint="eastAsia"/>
          <w:color w:val="auto"/>
          <w:highlight w:val="none"/>
          <w:lang w:val="en-US" w:eastAsia="zh-CN"/>
        </w:rPr>
      </w:pPr>
    </w:p>
    <w:p w14:paraId="2C3AC0FF">
      <w:pPr>
        <w:pStyle w:val="12"/>
        <w:rPr>
          <w:rFonts w:hint="eastAsia"/>
          <w:color w:val="auto"/>
          <w:highlight w:val="none"/>
          <w:lang w:val="en-US" w:eastAsia="zh-CN"/>
        </w:rPr>
      </w:pPr>
    </w:p>
    <w:p w14:paraId="05106A40">
      <w:pPr>
        <w:pStyle w:val="13"/>
        <w:rPr>
          <w:rFonts w:hint="eastAsia"/>
          <w:color w:val="auto"/>
          <w:highlight w:val="none"/>
          <w:lang w:val="en-US" w:eastAsia="zh-CN"/>
        </w:rPr>
      </w:pPr>
    </w:p>
    <w:p w14:paraId="26950345">
      <w:pPr>
        <w:rPr>
          <w:rFonts w:hint="eastAsia"/>
          <w:color w:val="auto"/>
          <w:highlight w:val="none"/>
          <w:lang w:val="en-US" w:eastAsia="zh-CN"/>
        </w:rPr>
      </w:pPr>
    </w:p>
    <w:p w14:paraId="473D04ED">
      <w:pPr>
        <w:pStyle w:val="12"/>
        <w:rPr>
          <w:rFonts w:hint="eastAsia"/>
          <w:color w:val="auto"/>
          <w:highlight w:val="none"/>
          <w:lang w:val="en-US" w:eastAsia="zh-CN"/>
        </w:rPr>
      </w:pPr>
    </w:p>
    <w:p w14:paraId="09275D33">
      <w:pPr>
        <w:pStyle w:val="13"/>
        <w:rPr>
          <w:rFonts w:hint="eastAsia"/>
          <w:color w:val="auto"/>
          <w:highlight w:val="none"/>
          <w:lang w:val="en-US" w:eastAsia="zh-CN"/>
        </w:rPr>
      </w:pPr>
    </w:p>
    <w:p w14:paraId="3B39DF17">
      <w:pPr>
        <w:rPr>
          <w:rFonts w:hint="eastAsia"/>
          <w:color w:val="auto"/>
          <w:highlight w:val="none"/>
          <w:lang w:val="en-US" w:eastAsia="zh-CN"/>
        </w:rPr>
      </w:pPr>
    </w:p>
    <w:p w14:paraId="68D36ACD">
      <w:pPr>
        <w:pStyle w:val="12"/>
        <w:rPr>
          <w:rFonts w:hint="eastAsia"/>
          <w:color w:val="auto"/>
          <w:highlight w:val="none"/>
          <w:lang w:val="en-US" w:eastAsia="zh-CN"/>
        </w:rPr>
      </w:pPr>
    </w:p>
    <w:p w14:paraId="678051C1">
      <w:pPr>
        <w:pStyle w:val="13"/>
        <w:rPr>
          <w:rFonts w:hint="eastAsia"/>
          <w:color w:val="auto"/>
          <w:highlight w:val="none"/>
          <w:lang w:val="en-US" w:eastAsia="zh-CN"/>
        </w:rPr>
      </w:pPr>
    </w:p>
    <w:p w14:paraId="7EBDECC9">
      <w:pPr>
        <w:rPr>
          <w:rFonts w:hint="eastAsia"/>
          <w:color w:val="auto"/>
          <w:highlight w:val="none"/>
          <w:lang w:val="en-US" w:eastAsia="zh-CN"/>
        </w:rPr>
      </w:pPr>
    </w:p>
    <w:p w14:paraId="4DB93576">
      <w:pPr>
        <w:pStyle w:val="12"/>
        <w:rPr>
          <w:rFonts w:hint="eastAsia"/>
          <w:color w:val="auto"/>
          <w:highlight w:val="none"/>
          <w:lang w:val="en-US" w:eastAsia="zh-CN"/>
        </w:rPr>
      </w:pPr>
    </w:p>
    <w:p w14:paraId="623589C7">
      <w:pPr>
        <w:pStyle w:val="13"/>
        <w:rPr>
          <w:rFonts w:hint="eastAsia"/>
          <w:color w:val="auto"/>
          <w:highlight w:val="none"/>
          <w:lang w:val="en-US" w:eastAsia="zh-CN"/>
        </w:rPr>
      </w:pPr>
    </w:p>
    <w:p w14:paraId="5A1C8F0A">
      <w:pPr>
        <w:rPr>
          <w:rFonts w:hint="eastAsia"/>
          <w:color w:val="auto"/>
          <w:highlight w:val="none"/>
          <w:lang w:val="en-US" w:eastAsia="zh-CN"/>
        </w:rPr>
      </w:pPr>
    </w:p>
    <w:p w14:paraId="35BC090A">
      <w:pPr>
        <w:pStyle w:val="12"/>
        <w:rPr>
          <w:rFonts w:hint="eastAsia"/>
          <w:color w:val="auto"/>
          <w:highlight w:val="none"/>
          <w:lang w:val="en-US" w:eastAsia="zh-CN"/>
        </w:rPr>
      </w:pPr>
    </w:p>
    <w:p w14:paraId="7A78166D">
      <w:pPr>
        <w:pStyle w:val="13"/>
        <w:rPr>
          <w:rFonts w:hint="eastAsia"/>
          <w:color w:val="auto"/>
          <w:highlight w:val="none"/>
          <w:lang w:val="en-US" w:eastAsia="zh-CN"/>
        </w:rPr>
      </w:pPr>
    </w:p>
    <w:p w14:paraId="177D2772">
      <w:pPr>
        <w:rPr>
          <w:rFonts w:hint="eastAsia"/>
          <w:color w:val="auto"/>
          <w:highlight w:val="none"/>
          <w:lang w:val="en-US" w:eastAsia="zh-CN"/>
        </w:rPr>
      </w:pPr>
    </w:p>
    <w:p w14:paraId="02A588F1">
      <w:pPr>
        <w:pStyle w:val="12"/>
        <w:rPr>
          <w:rFonts w:hint="eastAsia"/>
          <w:color w:val="auto"/>
          <w:highlight w:val="none"/>
          <w:lang w:val="en-US" w:eastAsia="zh-CN"/>
        </w:rPr>
      </w:pPr>
    </w:p>
    <w:p w14:paraId="04D910DF">
      <w:pPr>
        <w:pStyle w:val="13"/>
        <w:rPr>
          <w:rFonts w:hint="eastAsia"/>
          <w:color w:val="auto"/>
          <w:highlight w:val="none"/>
          <w:lang w:val="en-US" w:eastAsia="zh-CN"/>
        </w:rPr>
      </w:pPr>
    </w:p>
    <w:p w14:paraId="27A435C5">
      <w:pPr>
        <w:rPr>
          <w:rFonts w:hint="eastAsia"/>
          <w:color w:val="auto"/>
          <w:highlight w:val="none"/>
          <w:lang w:val="en-US" w:eastAsia="zh-CN"/>
        </w:rPr>
      </w:pPr>
    </w:p>
    <w:p w14:paraId="59DD35EC">
      <w:pPr>
        <w:pStyle w:val="12"/>
        <w:rPr>
          <w:rFonts w:hint="eastAsia"/>
          <w:color w:val="auto"/>
          <w:highlight w:val="none"/>
          <w:lang w:val="en-US" w:eastAsia="zh-CN"/>
        </w:rPr>
      </w:pPr>
    </w:p>
    <w:p w14:paraId="59823A89">
      <w:pPr>
        <w:pStyle w:val="13"/>
        <w:rPr>
          <w:rFonts w:hint="eastAsia"/>
          <w:color w:val="auto"/>
          <w:highlight w:val="none"/>
          <w:lang w:val="en-US" w:eastAsia="zh-CN"/>
        </w:rPr>
      </w:pPr>
    </w:p>
    <w:p w14:paraId="0818F848">
      <w:pPr>
        <w:rPr>
          <w:rFonts w:hint="eastAsia"/>
          <w:color w:val="auto"/>
          <w:highlight w:val="none"/>
          <w:lang w:val="en-US" w:eastAsia="zh-CN"/>
        </w:rPr>
      </w:pPr>
    </w:p>
    <w:p w14:paraId="08D7FA30">
      <w:pPr>
        <w:pStyle w:val="12"/>
        <w:rPr>
          <w:rFonts w:hint="eastAsia"/>
          <w:color w:val="auto"/>
          <w:highlight w:val="none"/>
          <w:lang w:val="en-US" w:eastAsia="zh-CN"/>
        </w:rPr>
      </w:pPr>
    </w:p>
    <w:p w14:paraId="4E50B781">
      <w:pPr>
        <w:adjustRightInd w:val="0"/>
        <w:spacing w:line="165" w:lineRule="atLeast"/>
        <w:jc w:val="center"/>
        <w:outlineLvl w:val="0"/>
        <w:rPr>
          <w:rFonts w:ascii="宋体" w:hAnsi="宋体" w:cs="宋体"/>
          <w:color w:val="auto"/>
          <w:sz w:val="28"/>
          <w:szCs w:val="21"/>
          <w:highlight w:val="none"/>
        </w:rPr>
      </w:pPr>
      <w:bookmarkStart w:id="295" w:name="_Toc10239"/>
      <w:bookmarkStart w:id="296" w:name="_Toc11063"/>
      <w:bookmarkStart w:id="297" w:name="_Toc13654"/>
      <w:bookmarkStart w:id="298" w:name="_Toc30795"/>
      <w:r>
        <w:rPr>
          <w:rFonts w:hint="eastAsia" w:ascii="宋体" w:hAnsi="宋体" w:cs="宋体"/>
          <w:b/>
          <w:bCs/>
          <w:color w:val="auto"/>
          <w:sz w:val="32"/>
          <w:szCs w:val="32"/>
          <w:highlight w:val="none"/>
          <w:lang w:eastAsia="zh-CN"/>
        </w:rPr>
        <w:t>五</w:t>
      </w:r>
      <w:r>
        <w:rPr>
          <w:rFonts w:hint="eastAsia" w:ascii="宋体" w:hAnsi="宋体" w:cs="宋体"/>
          <w:b/>
          <w:bCs/>
          <w:color w:val="auto"/>
          <w:sz w:val="32"/>
          <w:szCs w:val="32"/>
          <w:highlight w:val="none"/>
        </w:rPr>
        <w:t>、项目管理机构</w:t>
      </w:r>
      <w:bookmarkEnd w:id="295"/>
      <w:bookmarkEnd w:id="296"/>
      <w:bookmarkEnd w:id="297"/>
      <w:bookmarkEnd w:id="298"/>
    </w:p>
    <w:p w14:paraId="1B74CBA5">
      <w:pPr>
        <w:tabs>
          <w:tab w:val="left" w:pos="3073"/>
          <w:tab w:val="center" w:pos="4595"/>
        </w:tabs>
        <w:autoSpaceDE w:val="0"/>
        <w:autoSpaceDN w:val="0"/>
        <w:snapToGrid w:val="0"/>
        <w:spacing w:line="360" w:lineRule="auto"/>
        <w:jc w:val="left"/>
        <w:outlineLvl w:val="9"/>
        <w:rPr>
          <w:rFonts w:hint="eastAsia" w:ascii="宋体" w:hAnsi="宋体" w:cs="宋体"/>
          <w:color w:val="auto"/>
          <w:sz w:val="24"/>
          <w:highlight w:val="none"/>
          <w:lang w:eastAsia="zh-CN"/>
        </w:rPr>
      </w:pPr>
      <w:bookmarkStart w:id="299" w:name="_Toc5981"/>
      <w:bookmarkStart w:id="300" w:name="_Toc30562"/>
      <w:bookmarkStart w:id="301" w:name="_Toc18560"/>
      <w:r>
        <w:rPr>
          <w:rFonts w:hint="eastAsia" w:ascii="宋体" w:hAnsi="宋体" w:cs="宋体"/>
          <w:color w:val="auto"/>
          <w:sz w:val="24"/>
          <w:highlight w:val="none"/>
          <w:lang w:eastAsia="zh-CN"/>
        </w:rPr>
        <w:tab/>
      </w:r>
    </w:p>
    <w:p w14:paraId="5E3C5262">
      <w:pPr>
        <w:tabs>
          <w:tab w:val="left" w:pos="3073"/>
          <w:tab w:val="center" w:pos="4595"/>
        </w:tabs>
        <w:autoSpaceDE w:val="0"/>
        <w:autoSpaceDN w:val="0"/>
        <w:snapToGrid w:val="0"/>
        <w:spacing w:line="360" w:lineRule="auto"/>
        <w:jc w:val="left"/>
        <w:outlineLvl w:val="1"/>
        <w:rPr>
          <w:rFonts w:ascii="宋体" w:hAnsi="宋体" w:cs="宋体"/>
          <w:color w:val="auto"/>
          <w:sz w:val="24"/>
          <w:highlight w:val="none"/>
        </w:rPr>
      </w:pPr>
      <w:r>
        <w:rPr>
          <w:rFonts w:hint="eastAsia" w:ascii="宋体" w:hAnsi="宋体" w:cs="宋体"/>
          <w:color w:val="auto"/>
          <w:sz w:val="24"/>
          <w:highlight w:val="none"/>
          <w:lang w:eastAsia="zh-CN"/>
        </w:rPr>
        <w:tab/>
      </w:r>
      <w:r>
        <w:rPr>
          <w:rFonts w:hint="eastAsia" w:ascii="宋体" w:hAnsi="宋体" w:cs="宋体"/>
          <w:color w:val="auto"/>
          <w:sz w:val="24"/>
          <w:highlight w:val="none"/>
        </w:rPr>
        <w:t>（一）项目管理机构组成表</w:t>
      </w:r>
      <w:bookmarkEnd w:id="299"/>
      <w:bookmarkEnd w:id="300"/>
      <w:bookmarkEnd w:id="301"/>
    </w:p>
    <w:p w14:paraId="3C71E106">
      <w:pPr>
        <w:spacing w:line="440" w:lineRule="exact"/>
        <w:ind w:firstLine="482" w:firstLineChars="200"/>
        <w:jc w:val="both"/>
        <w:rPr>
          <w:rFonts w:ascii="宋体" w:hAnsi="宋体" w:cs="宋体"/>
          <w:b/>
          <w:color w:val="auto"/>
          <w:sz w:val="24"/>
          <w:highlight w:val="none"/>
        </w:rPr>
      </w:pPr>
    </w:p>
    <w:tbl>
      <w:tblPr>
        <w:tblStyle w:val="43"/>
        <w:tblpPr w:leftFromText="181" w:rightFromText="181" w:vertAnchor="text" w:horzAnchor="margin" w:tblpXSpec="center" w:tblpY="-73"/>
        <w:tblOverlap w:val="never"/>
        <w:tblW w:w="9219" w:type="dxa"/>
        <w:tblInd w:w="0" w:type="dxa"/>
        <w:tblLayout w:type="fixed"/>
        <w:tblCellMar>
          <w:top w:w="0" w:type="dxa"/>
          <w:left w:w="0" w:type="dxa"/>
          <w:bottom w:w="0" w:type="dxa"/>
          <w:right w:w="0" w:type="dxa"/>
        </w:tblCellMar>
      </w:tblPr>
      <w:tblGrid>
        <w:gridCol w:w="999"/>
        <w:gridCol w:w="986"/>
        <w:gridCol w:w="779"/>
        <w:gridCol w:w="975"/>
        <w:gridCol w:w="788"/>
        <w:gridCol w:w="950"/>
        <w:gridCol w:w="875"/>
        <w:gridCol w:w="950"/>
        <w:gridCol w:w="987"/>
        <w:gridCol w:w="930"/>
      </w:tblGrid>
      <w:tr w14:paraId="5700D5A1">
        <w:tblPrEx>
          <w:tblCellMar>
            <w:top w:w="0" w:type="dxa"/>
            <w:left w:w="0" w:type="dxa"/>
            <w:bottom w:w="0" w:type="dxa"/>
            <w:right w:w="0" w:type="dxa"/>
          </w:tblCellMar>
        </w:tblPrEx>
        <w:trPr>
          <w:trHeight w:val="739" w:hRule="atLeast"/>
        </w:trPr>
        <w:tc>
          <w:tcPr>
            <w:tcW w:w="999" w:type="dxa"/>
            <w:vMerge w:val="restart"/>
            <w:tcBorders>
              <w:top w:val="single" w:color="000000" w:sz="4" w:space="0"/>
              <w:left w:val="single" w:color="000000" w:sz="4" w:space="0"/>
              <w:bottom w:val="single" w:color="000000" w:sz="4" w:space="0"/>
              <w:right w:val="single" w:color="000000" w:sz="4" w:space="0"/>
            </w:tcBorders>
            <w:vAlign w:val="center"/>
          </w:tcPr>
          <w:p w14:paraId="22588662">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r>
              <w:rPr>
                <w:rFonts w:hint="eastAsia" w:ascii="宋体" w:hAnsi="宋体" w:cs="宋体"/>
                <w:color w:val="auto"/>
                <w:spacing w:val="1"/>
                <w:sz w:val="24"/>
                <w:highlight w:val="none"/>
              </w:rPr>
              <w:t>职务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14:paraId="31CAC88F">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r>
              <w:rPr>
                <w:rFonts w:hint="eastAsia" w:ascii="宋体" w:hAnsi="宋体" w:cs="宋体"/>
                <w:color w:val="auto"/>
                <w:spacing w:val="1"/>
                <w:sz w:val="24"/>
                <w:highlight w:val="none"/>
              </w:rPr>
              <w:t>姓名</w:t>
            </w:r>
          </w:p>
        </w:tc>
        <w:tc>
          <w:tcPr>
            <w:tcW w:w="779" w:type="dxa"/>
            <w:vMerge w:val="restart"/>
            <w:tcBorders>
              <w:top w:val="single" w:color="000000" w:sz="4" w:space="0"/>
              <w:left w:val="single" w:color="000000" w:sz="4" w:space="0"/>
              <w:right w:val="single" w:color="000000" w:sz="4" w:space="0"/>
            </w:tcBorders>
            <w:vAlign w:val="center"/>
          </w:tcPr>
          <w:p w14:paraId="68C068A2">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r>
              <w:rPr>
                <w:rFonts w:hint="eastAsia" w:ascii="宋体" w:hAnsi="宋体" w:cs="宋体"/>
                <w:color w:val="auto"/>
                <w:spacing w:val="1"/>
                <w:sz w:val="24"/>
                <w:highlight w:val="none"/>
              </w:rPr>
              <w:t>身份证号</w:t>
            </w:r>
          </w:p>
        </w:tc>
        <w:tc>
          <w:tcPr>
            <w:tcW w:w="975" w:type="dxa"/>
            <w:vMerge w:val="restart"/>
            <w:tcBorders>
              <w:top w:val="single" w:color="000000" w:sz="4" w:space="0"/>
              <w:left w:val="single" w:color="000000" w:sz="4" w:space="0"/>
              <w:bottom w:val="single" w:color="000000" w:sz="4" w:space="0"/>
              <w:right w:val="single" w:color="000000" w:sz="4" w:space="0"/>
            </w:tcBorders>
            <w:vAlign w:val="center"/>
          </w:tcPr>
          <w:p w14:paraId="7183AED8">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r>
              <w:rPr>
                <w:rFonts w:hint="eastAsia" w:ascii="宋体" w:hAnsi="宋体" w:cs="宋体"/>
                <w:color w:val="auto"/>
                <w:spacing w:val="1"/>
                <w:sz w:val="24"/>
                <w:highlight w:val="none"/>
              </w:rPr>
              <w:t>职称</w:t>
            </w:r>
          </w:p>
        </w:tc>
        <w:tc>
          <w:tcPr>
            <w:tcW w:w="4550" w:type="dxa"/>
            <w:gridSpan w:val="5"/>
            <w:tcBorders>
              <w:top w:val="single" w:color="000000" w:sz="4" w:space="0"/>
              <w:left w:val="single" w:color="000000" w:sz="4" w:space="0"/>
              <w:bottom w:val="single" w:color="000000" w:sz="4" w:space="0"/>
              <w:right w:val="single" w:color="000000" w:sz="4" w:space="0"/>
            </w:tcBorders>
            <w:vAlign w:val="center"/>
          </w:tcPr>
          <w:p w14:paraId="47BF504E">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r>
              <w:rPr>
                <w:rFonts w:hint="eastAsia" w:ascii="宋体" w:hAnsi="宋体" w:cs="宋体"/>
                <w:color w:val="auto"/>
                <w:spacing w:val="1"/>
                <w:sz w:val="24"/>
                <w:highlight w:val="none"/>
              </w:rPr>
              <w:t>执业或职业资格证明</w:t>
            </w:r>
          </w:p>
        </w:tc>
        <w:tc>
          <w:tcPr>
            <w:tcW w:w="930" w:type="dxa"/>
            <w:tcBorders>
              <w:top w:val="single" w:color="000000" w:sz="4" w:space="0"/>
              <w:left w:val="single" w:color="000000" w:sz="4" w:space="0"/>
              <w:bottom w:val="single" w:color="000000" w:sz="4" w:space="0"/>
              <w:right w:val="single" w:color="000000" w:sz="4" w:space="0"/>
            </w:tcBorders>
            <w:vAlign w:val="center"/>
          </w:tcPr>
          <w:p w14:paraId="3CEF1E37">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r>
              <w:rPr>
                <w:rFonts w:hint="eastAsia" w:ascii="宋体" w:hAnsi="宋体" w:cs="宋体"/>
                <w:color w:val="auto"/>
                <w:spacing w:val="1"/>
                <w:sz w:val="24"/>
                <w:highlight w:val="none"/>
              </w:rPr>
              <w:t>备注</w:t>
            </w:r>
          </w:p>
        </w:tc>
      </w:tr>
      <w:tr w14:paraId="4E7E1650">
        <w:tblPrEx>
          <w:tblCellMar>
            <w:top w:w="0" w:type="dxa"/>
            <w:left w:w="0" w:type="dxa"/>
            <w:bottom w:w="0" w:type="dxa"/>
            <w:right w:w="0" w:type="dxa"/>
          </w:tblCellMar>
        </w:tblPrEx>
        <w:trPr>
          <w:trHeight w:val="736" w:hRule="atLeast"/>
        </w:trPr>
        <w:tc>
          <w:tcPr>
            <w:tcW w:w="999" w:type="dxa"/>
            <w:vMerge w:val="continue"/>
            <w:tcBorders>
              <w:top w:val="single" w:color="000000" w:sz="4" w:space="0"/>
              <w:left w:val="single" w:color="000000" w:sz="4" w:space="0"/>
              <w:bottom w:val="single" w:color="000000" w:sz="4" w:space="0"/>
              <w:right w:val="single" w:color="000000" w:sz="4" w:space="0"/>
            </w:tcBorders>
            <w:vAlign w:val="center"/>
          </w:tcPr>
          <w:p w14:paraId="09E7E21B">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14:paraId="29FF7CD5">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779" w:type="dxa"/>
            <w:vMerge w:val="continue"/>
            <w:tcBorders>
              <w:left w:val="single" w:color="000000" w:sz="4" w:space="0"/>
              <w:bottom w:val="single" w:color="000000" w:sz="4" w:space="0"/>
              <w:right w:val="single" w:color="000000" w:sz="4" w:space="0"/>
            </w:tcBorders>
            <w:vAlign w:val="center"/>
          </w:tcPr>
          <w:p w14:paraId="2FDC02FB">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14:paraId="201FEE76">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788" w:type="dxa"/>
            <w:tcBorders>
              <w:top w:val="single" w:color="000000" w:sz="4" w:space="0"/>
              <w:left w:val="single" w:color="000000" w:sz="4" w:space="0"/>
              <w:bottom w:val="single" w:color="000000" w:sz="4" w:space="0"/>
              <w:right w:val="single" w:color="000000" w:sz="4" w:space="0"/>
            </w:tcBorders>
            <w:vAlign w:val="center"/>
          </w:tcPr>
          <w:p w14:paraId="1848C0FA">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r>
              <w:rPr>
                <w:rFonts w:hint="eastAsia" w:ascii="宋体" w:hAnsi="宋体" w:cs="宋体"/>
                <w:color w:val="auto"/>
                <w:spacing w:val="1"/>
                <w:sz w:val="24"/>
                <w:highlight w:val="none"/>
              </w:rPr>
              <w:t>证书名称</w:t>
            </w:r>
          </w:p>
        </w:tc>
        <w:tc>
          <w:tcPr>
            <w:tcW w:w="950" w:type="dxa"/>
            <w:tcBorders>
              <w:top w:val="single" w:color="000000" w:sz="4" w:space="0"/>
              <w:left w:val="single" w:color="000000" w:sz="4" w:space="0"/>
              <w:bottom w:val="single" w:color="000000" w:sz="4" w:space="0"/>
              <w:right w:val="single" w:color="000000" w:sz="4" w:space="0"/>
            </w:tcBorders>
            <w:vAlign w:val="center"/>
          </w:tcPr>
          <w:p w14:paraId="424D4144">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r>
              <w:rPr>
                <w:rFonts w:hint="eastAsia" w:ascii="宋体" w:hAnsi="宋体" w:cs="宋体"/>
                <w:color w:val="auto"/>
                <w:spacing w:val="1"/>
                <w:sz w:val="24"/>
                <w:highlight w:val="none"/>
              </w:rPr>
              <w:t>级别</w:t>
            </w:r>
          </w:p>
        </w:tc>
        <w:tc>
          <w:tcPr>
            <w:tcW w:w="875" w:type="dxa"/>
            <w:tcBorders>
              <w:top w:val="single" w:color="000000" w:sz="4" w:space="0"/>
              <w:left w:val="single" w:color="000000" w:sz="4" w:space="0"/>
              <w:bottom w:val="single" w:color="000000" w:sz="4" w:space="0"/>
              <w:right w:val="single" w:color="000000" w:sz="4" w:space="0"/>
            </w:tcBorders>
            <w:vAlign w:val="center"/>
          </w:tcPr>
          <w:p w14:paraId="561CB77A">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r>
              <w:rPr>
                <w:rFonts w:hint="eastAsia" w:ascii="宋体" w:hAnsi="宋体" w:cs="宋体"/>
                <w:color w:val="auto"/>
                <w:spacing w:val="1"/>
                <w:sz w:val="24"/>
                <w:highlight w:val="none"/>
              </w:rPr>
              <w:t>证号</w:t>
            </w:r>
          </w:p>
        </w:tc>
        <w:tc>
          <w:tcPr>
            <w:tcW w:w="950" w:type="dxa"/>
            <w:tcBorders>
              <w:top w:val="single" w:color="000000" w:sz="4" w:space="0"/>
              <w:left w:val="single" w:color="000000" w:sz="4" w:space="0"/>
              <w:bottom w:val="single" w:color="000000" w:sz="4" w:space="0"/>
              <w:right w:val="single" w:color="000000" w:sz="4" w:space="0"/>
            </w:tcBorders>
            <w:vAlign w:val="center"/>
          </w:tcPr>
          <w:p w14:paraId="574BD376">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r>
              <w:rPr>
                <w:rFonts w:hint="eastAsia" w:ascii="宋体" w:hAnsi="宋体" w:cs="宋体"/>
                <w:color w:val="auto"/>
                <w:spacing w:val="1"/>
                <w:sz w:val="24"/>
                <w:highlight w:val="none"/>
              </w:rPr>
              <w:t>专业</w:t>
            </w:r>
          </w:p>
        </w:tc>
        <w:tc>
          <w:tcPr>
            <w:tcW w:w="987" w:type="dxa"/>
            <w:tcBorders>
              <w:top w:val="single" w:color="000000" w:sz="4" w:space="0"/>
              <w:left w:val="single" w:color="000000" w:sz="4" w:space="0"/>
              <w:bottom w:val="single" w:color="000000" w:sz="4" w:space="0"/>
              <w:right w:val="single" w:color="000000" w:sz="4" w:space="0"/>
            </w:tcBorders>
            <w:vAlign w:val="center"/>
          </w:tcPr>
          <w:p w14:paraId="409223EE">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r>
              <w:rPr>
                <w:rFonts w:hint="eastAsia" w:ascii="宋体" w:hAnsi="宋体" w:cs="宋体"/>
                <w:color w:val="auto"/>
                <w:spacing w:val="1"/>
                <w:sz w:val="24"/>
                <w:highlight w:val="none"/>
              </w:rPr>
              <w:t>专业年限</w:t>
            </w:r>
          </w:p>
        </w:tc>
        <w:tc>
          <w:tcPr>
            <w:tcW w:w="930" w:type="dxa"/>
            <w:tcBorders>
              <w:top w:val="single" w:color="000000" w:sz="4" w:space="0"/>
              <w:left w:val="single" w:color="000000" w:sz="4" w:space="0"/>
              <w:bottom w:val="single" w:color="000000" w:sz="4" w:space="0"/>
              <w:right w:val="single" w:color="000000" w:sz="4" w:space="0"/>
            </w:tcBorders>
            <w:vAlign w:val="center"/>
          </w:tcPr>
          <w:p w14:paraId="082F1033">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r>
      <w:tr w14:paraId="5C89ED86">
        <w:tblPrEx>
          <w:tblCellMar>
            <w:top w:w="0" w:type="dxa"/>
            <w:left w:w="0" w:type="dxa"/>
            <w:bottom w:w="0" w:type="dxa"/>
            <w:right w:w="0" w:type="dxa"/>
          </w:tblCellMar>
        </w:tblPrEx>
        <w:trPr>
          <w:trHeight w:val="888" w:hRule="atLeast"/>
        </w:trPr>
        <w:tc>
          <w:tcPr>
            <w:tcW w:w="999" w:type="dxa"/>
            <w:tcBorders>
              <w:top w:val="single" w:color="000000" w:sz="4" w:space="0"/>
              <w:left w:val="single" w:color="000000" w:sz="4" w:space="0"/>
              <w:bottom w:val="single" w:color="000000" w:sz="4" w:space="0"/>
              <w:right w:val="single" w:color="000000" w:sz="4" w:space="0"/>
            </w:tcBorders>
            <w:vAlign w:val="center"/>
          </w:tcPr>
          <w:p w14:paraId="7CFF20EE">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0FB106E7">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779" w:type="dxa"/>
            <w:tcBorders>
              <w:top w:val="single" w:color="000000" w:sz="4" w:space="0"/>
              <w:left w:val="single" w:color="000000" w:sz="4" w:space="0"/>
              <w:bottom w:val="single" w:color="000000" w:sz="4" w:space="0"/>
              <w:right w:val="single" w:color="000000" w:sz="4" w:space="0"/>
            </w:tcBorders>
            <w:vAlign w:val="center"/>
          </w:tcPr>
          <w:p w14:paraId="1441B111">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012923D5">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788" w:type="dxa"/>
            <w:tcBorders>
              <w:top w:val="single" w:color="000000" w:sz="4" w:space="0"/>
              <w:left w:val="single" w:color="000000" w:sz="4" w:space="0"/>
              <w:bottom w:val="single" w:color="000000" w:sz="4" w:space="0"/>
              <w:right w:val="single" w:color="000000" w:sz="4" w:space="0"/>
            </w:tcBorders>
            <w:vAlign w:val="center"/>
          </w:tcPr>
          <w:p w14:paraId="283945B1">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37F0A0C6">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5D119D4A">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30D0E1EA">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87" w:type="dxa"/>
            <w:tcBorders>
              <w:top w:val="single" w:color="000000" w:sz="4" w:space="0"/>
              <w:left w:val="single" w:color="000000" w:sz="4" w:space="0"/>
              <w:bottom w:val="single" w:color="000000" w:sz="4" w:space="0"/>
              <w:right w:val="single" w:color="000000" w:sz="4" w:space="0"/>
            </w:tcBorders>
            <w:vAlign w:val="center"/>
          </w:tcPr>
          <w:p w14:paraId="0311CB07">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4BD5664">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r>
      <w:tr w14:paraId="60823377">
        <w:tblPrEx>
          <w:tblCellMar>
            <w:top w:w="0" w:type="dxa"/>
            <w:left w:w="0" w:type="dxa"/>
            <w:bottom w:w="0" w:type="dxa"/>
            <w:right w:w="0" w:type="dxa"/>
          </w:tblCellMar>
        </w:tblPrEx>
        <w:trPr>
          <w:trHeight w:val="888" w:hRule="atLeast"/>
        </w:trPr>
        <w:tc>
          <w:tcPr>
            <w:tcW w:w="999" w:type="dxa"/>
            <w:tcBorders>
              <w:top w:val="single" w:color="000000" w:sz="4" w:space="0"/>
              <w:left w:val="single" w:color="000000" w:sz="4" w:space="0"/>
              <w:bottom w:val="single" w:color="000000" w:sz="4" w:space="0"/>
              <w:right w:val="single" w:color="000000" w:sz="4" w:space="0"/>
            </w:tcBorders>
            <w:vAlign w:val="center"/>
          </w:tcPr>
          <w:p w14:paraId="6D7B2963">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5BFE0E0B">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779" w:type="dxa"/>
            <w:tcBorders>
              <w:top w:val="single" w:color="000000" w:sz="4" w:space="0"/>
              <w:left w:val="single" w:color="000000" w:sz="4" w:space="0"/>
              <w:bottom w:val="single" w:color="000000" w:sz="4" w:space="0"/>
              <w:right w:val="single" w:color="000000" w:sz="4" w:space="0"/>
            </w:tcBorders>
            <w:vAlign w:val="center"/>
          </w:tcPr>
          <w:p w14:paraId="5F0A67DD">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0740AAE6">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788" w:type="dxa"/>
            <w:tcBorders>
              <w:top w:val="single" w:color="000000" w:sz="4" w:space="0"/>
              <w:left w:val="single" w:color="000000" w:sz="4" w:space="0"/>
              <w:bottom w:val="single" w:color="000000" w:sz="4" w:space="0"/>
              <w:right w:val="single" w:color="000000" w:sz="4" w:space="0"/>
            </w:tcBorders>
            <w:vAlign w:val="center"/>
          </w:tcPr>
          <w:p w14:paraId="1A2EBE4F">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06BE04EC">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4695FE0E">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29E4598C">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87" w:type="dxa"/>
            <w:tcBorders>
              <w:top w:val="single" w:color="000000" w:sz="4" w:space="0"/>
              <w:left w:val="single" w:color="000000" w:sz="4" w:space="0"/>
              <w:bottom w:val="single" w:color="000000" w:sz="4" w:space="0"/>
              <w:right w:val="single" w:color="000000" w:sz="4" w:space="0"/>
            </w:tcBorders>
            <w:vAlign w:val="center"/>
          </w:tcPr>
          <w:p w14:paraId="65DAD533">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B07F71E">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r>
      <w:tr w14:paraId="6B5189D7">
        <w:tblPrEx>
          <w:tblCellMar>
            <w:top w:w="0" w:type="dxa"/>
            <w:left w:w="0" w:type="dxa"/>
            <w:bottom w:w="0" w:type="dxa"/>
            <w:right w:w="0" w:type="dxa"/>
          </w:tblCellMar>
        </w:tblPrEx>
        <w:trPr>
          <w:trHeight w:val="888" w:hRule="atLeast"/>
        </w:trPr>
        <w:tc>
          <w:tcPr>
            <w:tcW w:w="999" w:type="dxa"/>
            <w:tcBorders>
              <w:top w:val="single" w:color="000000" w:sz="4" w:space="0"/>
              <w:left w:val="single" w:color="000000" w:sz="4" w:space="0"/>
              <w:bottom w:val="single" w:color="000000" w:sz="4" w:space="0"/>
              <w:right w:val="single" w:color="000000" w:sz="4" w:space="0"/>
            </w:tcBorders>
            <w:vAlign w:val="center"/>
          </w:tcPr>
          <w:p w14:paraId="525840A6">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008700E2">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779" w:type="dxa"/>
            <w:tcBorders>
              <w:top w:val="single" w:color="000000" w:sz="4" w:space="0"/>
              <w:left w:val="single" w:color="000000" w:sz="4" w:space="0"/>
              <w:bottom w:val="single" w:color="000000" w:sz="4" w:space="0"/>
              <w:right w:val="single" w:color="000000" w:sz="4" w:space="0"/>
            </w:tcBorders>
            <w:vAlign w:val="center"/>
          </w:tcPr>
          <w:p w14:paraId="2DB16491">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4EB29F24">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788" w:type="dxa"/>
            <w:tcBorders>
              <w:top w:val="single" w:color="000000" w:sz="4" w:space="0"/>
              <w:left w:val="single" w:color="000000" w:sz="4" w:space="0"/>
              <w:bottom w:val="single" w:color="000000" w:sz="4" w:space="0"/>
              <w:right w:val="single" w:color="000000" w:sz="4" w:space="0"/>
            </w:tcBorders>
            <w:vAlign w:val="center"/>
          </w:tcPr>
          <w:p w14:paraId="15C0BDF8">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3AEFF160">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0EC126EA">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51CB3DED">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87" w:type="dxa"/>
            <w:tcBorders>
              <w:top w:val="single" w:color="000000" w:sz="4" w:space="0"/>
              <w:left w:val="single" w:color="000000" w:sz="4" w:space="0"/>
              <w:bottom w:val="single" w:color="000000" w:sz="4" w:space="0"/>
              <w:right w:val="single" w:color="000000" w:sz="4" w:space="0"/>
            </w:tcBorders>
            <w:vAlign w:val="center"/>
          </w:tcPr>
          <w:p w14:paraId="50943999">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98C1656">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r>
      <w:tr w14:paraId="3FDED3D5">
        <w:tblPrEx>
          <w:tblCellMar>
            <w:top w:w="0" w:type="dxa"/>
            <w:left w:w="0" w:type="dxa"/>
            <w:bottom w:w="0" w:type="dxa"/>
            <w:right w:w="0" w:type="dxa"/>
          </w:tblCellMar>
        </w:tblPrEx>
        <w:trPr>
          <w:trHeight w:val="888" w:hRule="atLeast"/>
        </w:trPr>
        <w:tc>
          <w:tcPr>
            <w:tcW w:w="999" w:type="dxa"/>
            <w:tcBorders>
              <w:top w:val="single" w:color="000000" w:sz="4" w:space="0"/>
              <w:left w:val="single" w:color="000000" w:sz="4" w:space="0"/>
              <w:bottom w:val="single" w:color="000000" w:sz="4" w:space="0"/>
              <w:right w:val="single" w:color="000000" w:sz="4" w:space="0"/>
            </w:tcBorders>
            <w:vAlign w:val="center"/>
          </w:tcPr>
          <w:p w14:paraId="0DA6410B">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61074CFF">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779" w:type="dxa"/>
            <w:tcBorders>
              <w:top w:val="single" w:color="000000" w:sz="4" w:space="0"/>
              <w:left w:val="single" w:color="000000" w:sz="4" w:space="0"/>
              <w:bottom w:val="single" w:color="000000" w:sz="4" w:space="0"/>
              <w:right w:val="single" w:color="000000" w:sz="4" w:space="0"/>
            </w:tcBorders>
            <w:vAlign w:val="center"/>
          </w:tcPr>
          <w:p w14:paraId="706E2EE4">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428E5B05">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788" w:type="dxa"/>
            <w:tcBorders>
              <w:top w:val="single" w:color="000000" w:sz="4" w:space="0"/>
              <w:left w:val="single" w:color="000000" w:sz="4" w:space="0"/>
              <w:bottom w:val="single" w:color="000000" w:sz="4" w:space="0"/>
              <w:right w:val="single" w:color="000000" w:sz="4" w:space="0"/>
            </w:tcBorders>
            <w:vAlign w:val="center"/>
          </w:tcPr>
          <w:p w14:paraId="438BC520">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3801902A">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7264DE84">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7E31F284">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87" w:type="dxa"/>
            <w:tcBorders>
              <w:top w:val="single" w:color="000000" w:sz="4" w:space="0"/>
              <w:left w:val="single" w:color="000000" w:sz="4" w:space="0"/>
              <w:bottom w:val="single" w:color="000000" w:sz="4" w:space="0"/>
              <w:right w:val="single" w:color="000000" w:sz="4" w:space="0"/>
            </w:tcBorders>
            <w:vAlign w:val="center"/>
          </w:tcPr>
          <w:p w14:paraId="012FA26B">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E94B728">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r>
      <w:tr w14:paraId="244BDFCF">
        <w:tblPrEx>
          <w:tblCellMar>
            <w:top w:w="0" w:type="dxa"/>
            <w:left w:w="0" w:type="dxa"/>
            <w:bottom w:w="0" w:type="dxa"/>
            <w:right w:w="0" w:type="dxa"/>
          </w:tblCellMar>
        </w:tblPrEx>
        <w:trPr>
          <w:trHeight w:val="888" w:hRule="atLeast"/>
        </w:trPr>
        <w:tc>
          <w:tcPr>
            <w:tcW w:w="999" w:type="dxa"/>
            <w:tcBorders>
              <w:top w:val="single" w:color="000000" w:sz="4" w:space="0"/>
              <w:left w:val="single" w:color="000000" w:sz="4" w:space="0"/>
              <w:bottom w:val="single" w:color="000000" w:sz="4" w:space="0"/>
              <w:right w:val="single" w:color="000000" w:sz="4" w:space="0"/>
            </w:tcBorders>
            <w:vAlign w:val="center"/>
          </w:tcPr>
          <w:p w14:paraId="1214353C">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1CC423F4">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779" w:type="dxa"/>
            <w:tcBorders>
              <w:top w:val="single" w:color="000000" w:sz="4" w:space="0"/>
              <w:left w:val="single" w:color="000000" w:sz="4" w:space="0"/>
              <w:bottom w:val="single" w:color="000000" w:sz="4" w:space="0"/>
              <w:right w:val="single" w:color="000000" w:sz="4" w:space="0"/>
            </w:tcBorders>
            <w:vAlign w:val="center"/>
          </w:tcPr>
          <w:p w14:paraId="2C0CC54E">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226E0799">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788" w:type="dxa"/>
            <w:tcBorders>
              <w:top w:val="single" w:color="000000" w:sz="4" w:space="0"/>
              <w:left w:val="single" w:color="000000" w:sz="4" w:space="0"/>
              <w:bottom w:val="single" w:color="000000" w:sz="4" w:space="0"/>
              <w:right w:val="single" w:color="000000" w:sz="4" w:space="0"/>
            </w:tcBorders>
            <w:vAlign w:val="center"/>
          </w:tcPr>
          <w:p w14:paraId="32EA9489">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17190295">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7C81F4F4">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5A96BAAD">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87" w:type="dxa"/>
            <w:tcBorders>
              <w:top w:val="single" w:color="000000" w:sz="4" w:space="0"/>
              <w:left w:val="single" w:color="000000" w:sz="4" w:space="0"/>
              <w:bottom w:val="single" w:color="000000" w:sz="4" w:space="0"/>
              <w:right w:val="single" w:color="000000" w:sz="4" w:space="0"/>
            </w:tcBorders>
            <w:vAlign w:val="center"/>
          </w:tcPr>
          <w:p w14:paraId="71DE86DA">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3C1D1FB">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r>
      <w:tr w14:paraId="312DB035">
        <w:tblPrEx>
          <w:tblCellMar>
            <w:top w:w="0" w:type="dxa"/>
            <w:left w:w="0" w:type="dxa"/>
            <w:bottom w:w="0" w:type="dxa"/>
            <w:right w:w="0" w:type="dxa"/>
          </w:tblCellMar>
        </w:tblPrEx>
        <w:trPr>
          <w:trHeight w:val="888" w:hRule="atLeast"/>
        </w:trPr>
        <w:tc>
          <w:tcPr>
            <w:tcW w:w="999" w:type="dxa"/>
            <w:tcBorders>
              <w:top w:val="single" w:color="000000" w:sz="4" w:space="0"/>
              <w:left w:val="single" w:color="000000" w:sz="4" w:space="0"/>
              <w:bottom w:val="single" w:color="000000" w:sz="4" w:space="0"/>
              <w:right w:val="single" w:color="000000" w:sz="4" w:space="0"/>
            </w:tcBorders>
            <w:vAlign w:val="center"/>
          </w:tcPr>
          <w:p w14:paraId="0F9A9360">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1ADAC331">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779" w:type="dxa"/>
            <w:tcBorders>
              <w:top w:val="single" w:color="000000" w:sz="4" w:space="0"/>
              <w:left w:val="single" w:color="000000" w:sz="4" w:space="0"/>
              <w:bottom w:val="single" w:color="000000" w:sz="4" w:space="0"/>
              <w:right w:val="single" w:color="000000" w:sz="4" w:space="0"/>
            </w:tcBorders>
            <w:vAlign w:val="center"/>
          </w:tcPr>
          <w:p w14:paraId="4E9C0B55">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3B7008D7">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788" w:type="dxa"/>
            <w:tcBorders>
              <w:top w:val="single" w:color="000000" w:sz="4" w:space="0"/>
              <w:left w:val="single" w:color="000000" w:sz="4" w:space="0"/>
              <w:bottom w:val="single" w:color="000000" w:sz="4" w:space="0"/>
              <w:right w:val="single" w:color="000000" w:sz="4" w:space="0"/>
            </w:tcBorders>
            <w:vAlign w:val="center"/>
          </w:tcPr>
          <w:p w14:paraId="28667042">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025334B8">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01CA8CA8">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35AADE65">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87" w:type="dxa"/>
            <w:tcBorders>
              <w:top w:val="single" w:color="000000" w:sz="4" w:space="0"/>
              <w:left w:val="single" w:color="000000" w:sz="4" w:space="0"/>
              <w:bottom w:val="single" w:color="000000" w:sz="4" w:space="0"/>
              <w:right w:val="single" w:color="000000" w:sz="4" w:space="0"/>
            </w:tcBorders>
            <w:vAlign w:val="center"/>
          </w:tcPr>
          <w:p w14:paraId="699AEF62">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7CBF474">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r>
      <w:tr w14:paraId="4FF5BB06">
        <w:tblPrEx>
          <w:tblCellMar>
            <w:top w:w="0" w:type="dxa"/>
            <w:left w:w="0" w:type="dxa"/>
            <w:bottom w:w="0" w:type="dxa"/>
            <w:right w:w="0" w:type="dxa"/>
          </w:tblCellMar>
        </w:tblPrEx>
        <w:trPr>
          <w:trHeight w:val="888" w:hRule="atLeast"/>
        </w:trPr>
        <w:tc>
          <w:tcPr>
            <w:tcW w:w="999" w:type="dxa"/>
            <w:tcBorders>
              <w:top w:val="single" w:color="000000" w:sz="4" w:space="0"/>
              <w:left w:val="single" w:color="000000" w:sz="4" w:space="0"/>
              <w:bottom w:val="single" w:color="000000" w:sz="4" w:space="0"/>
              <w:right w:val="single" w:color="000000" w:sz="4" w:space="0"/>
            </w:tcBorders>
            <w:vAlign w:val="center"/>
          </w:tcPr>
          <w:p w14:paraId="4A99CF46">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7D308344">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779" w:type="dxa"/>
            <w:tcBorders>
              <w:top w:val="single" w:color="000000" w:sz="4" w:space="0"/>
              <w:left w:val="single" w:color="000000" w:sz="4" w:space="0"/>
              <w:bottom w:val="single" w:color="000000" w:sz="4" w:space="0"/>
              <w:right w:val="single" w:color="000000" w:sz="4" w:space="0"/>
            </w:tcBorders>
            <w:vAlign w:val="center"/>
          </w:tcPr>
          <w:p w14:paraId="79790E9C">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381BD5BE">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788" w:type="dxa"/>
            <w:tcBorders>
              <w:top w:val="single" w:color="000000" w:sz="4" w:space="0"/>
              <w:left w:val="single" w:color="000000" w:sz="4" w:space="0"/>
              <w:bottom w:val="single" w:color="000000" w:sz="4" w:space="0"/>
              <w:right w:val="single" w:color="000000" w:sz="4" w:space="0"/>
            </w:tcBorders>
            <w:vAlign w:val="center"/>
          </w:tcPr>
          <w:p w14:paraId="34ABB437">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37A9C37B">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243ACC46">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50EDB5DA">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87" w:type="dxa"/>
            <w:tcBorders>
              <w:top w:val="single" w:color="000000" w:sz="4" w:space="0"/>
              <w:left w:val="single" w:color="000000" w:sz="4" w:space="0"/>
              <w:bottom w:val="single" w:color="000000" w:sz="4" w:space="0"/>
              <w:right w:val="single" w:color="000000" w:sz="4" w:space="0"/>
            </w:tcBorders>
            <w:vAlign w:val="center"/>
          </w:tcPr>
          <w:p w14:paraId="3A07883E">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88A1E31">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r>
      <w:tr w14:paraId="67579813">
        <w:tblPrEx>
          <w:tblCellMar>
            <w:top w:w="0" w:type="dxa"/>
            <w:left w:w="0" w:type="dxa"/>
            <w:bottom w:w="0" w:type="dxa"/>
            <w:right w:w="0" w:type="dxa"/>
          </w:tblCellMar>
        </w:tblPrEx>
        <w:trPr>
          <w:trHeight w:val="888" w:hRule="atLeast"/>
        </w:trPr>
        <w:tc>
          <w:tcPr>
            <w:tcW w:w="999" w:type="dxa"/>
            <w:tcBorders>
              <w:top w:val="single" w:color="000000" w:sz="4" w:space="0"/>
              <w:left w:val="single" w:color="000000" w:sz="4" w:space="0"/>
              <w:bottom w:val="single" w:color="000000" w:sz="4" w:space="0"/>
              <w:right w:val="single" w:color="000000" w:sz="4" w:space="0"/>
            </w:tcBorders>
            <w:vAlign w:val="center"/>
          </w:tcPr>
          <w:p w14:paraId="500B3E0B">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86" w:type="dxa"/>
            <w:tcBorders>
              <w:top w:val="single" w:color="000000" w:sz="4" w:space="0"/>
              <w:left w:val="single" w:color="000000" w:sz="4" w:space="0"/>
              <w:bottom w:val="single" w:color="000000" w:sz="4" w:space="0"/>
              <w:right w:val="single" w:color="000000" w:sz="4" w:space="0"/>
            </w:tcBorders>
            <w:vAlign w:val="center"/>
          </w:tcPr>
          <w:p w14:paraId="32D0995B">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779" w:type="dxa"/>
            <w:tcBorders>
              <w:top w:val="single" w:color="000000" w:sz="4" w:space="0"/>
              <w:left w:val="single" w:color="000000" w:sz="4" w:space="0"/>
              <w:bottom w:val="single" w:color="000000" w:sz="4" w:space="0"/>
              <w:right w:val="single" w:color="000000" w:sz="4" w:space="0"/>
            </w:tcBorders>
            <w:vAlign w:val="center"/>
          </w:tcPr>
          <w:p w14:paraId="7CEEF806">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75" w:type="dxa"/>
            <w:tcBorders>
              <w:top w:val="single" w:color="000000" w:sz="4" w:space="0"/>
              <w:left w:val="single" w:color="000000" w:sz="4" w:space="0"/>
              <w:bottom w:val="single" w:color="000000" w:sz="4" w:space="0"/>
              <w:right w:val="single" w:color="000000" w:sz="4" w:space="0"/>
            </w:tcBorders>
            <w:vAlign w:val="center"/>
          </w:tcPr>
          <w:p w14:paraId="3D8F8E09">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788" w:type="dxa"/>
            <w:tcBorders>
              <w:top w:val="single" w:color="000000" w:sz="4" w:space="0"/>
              <w:left w:val="single" w:color="000000" w:sz="4" w:space="0"/>
              <w:bottom w:val="single" w:color="000000" w:sz="4" w:space="0"/>
              <w:right w:val="single" w:color="000000" w:sz="4" w:space="0"/>
            </w:tcBorders>
            <w:vAlign w:val="center"/>
          </w:tcPr>
          <w:p w14:paraId="4C0EEC65">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26172484">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875" w:type="dxa"/>
            <w:tcBorders>
              <w:top w:val="single" w:color="000000" w:sz="4" w:space="0"/>
              <w:left w:val="single" w:color="000000" w:sz="4" w:space="0"/>
              <w:bottom w:val="single" w:color="000000" w:sz="4" w:space="0"/>
              <w:right w:val="single" w:color="000000" w:sz="4" w:space="0"/>
            </w:tcBorders>
            <w:vAlign w:val="center"/>
          </w:tcPr>
          <w:p w14:paraId="67B47B41">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50" w:type="dxa"/>
            <w:tcBorders>
              <w:top w:val="single" w:color="000000" w:sz="4" w:space="0"/>
              <w:left w:val="single" w:color="000000" w:sz="4" w:space="0"/>
              <w:bottom w:val="single" w:color="000000" w:sz="4" w:space="0"/>
              <w:right w:val="single" w:color="000000" w:sz="4" w:space="0"/>
            </w:tcBorders>
            <w:vAlign w:val="center"/>
          </w:tcPr>
          <w:p w14:paraId="0986326B">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87" w:type="dxa"/>
            <w:tcBorders>
              <w:top w:val="single" w:color="000000" w:sz="4" w:space="0"/>
              <w:left w:val="single" w:color="000000" w:sz="4" w:space="0"/>
              <w:bottom w:val="single" w:color="000000" w:sz="4" w:space="0"/>
              <w:right w:val="single" w:color="000000" w:sz="4" w:space="0"/>
            </w:tcBorders>
            <w:vAlign w:val="center"/>
          </w:tcPr>
          <w:p w14:paraId="041C2FCB">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FB4832F">
            <w:pPr>
              <w:autoSpaceDE w:val="0"/>
              <w:autoSpaceDN w:val="0"/>
              <w:adjustRightInd w:val="0"/>
              <w:spacing w:line="440" w:lineRule="exact"/>
              <w:ind w:right="97" w:firstLine="67" w:firstLineChars="28"/>
              <w:jc w:val="center"/>
              <w:rPr>
                <w:rFonts w:ascii="宋体" w:hAnsi="宋体" w:cs="宋体"/>
                <w:color w:val="auto"/>
                <w:spacing w:val="1"/>
                <w:sz w:val="24"/>
                <w:highlight w:val="none"/>
              </w:rPr>
            </w:pPr>
          </w:p>
        </w:tc>
      </w:tr>
    </w:tbl>
    <w:p w14:paraId="74DC6D3F">
      <w:pPr>
        <w:spacing w:line="360" w:lineRule="auto"/>
        <w:ind w:firstLine="484" w:firstLineChars="202"/>
        <w:rPr>
          <w:rFonts w:hint="eastAsia" w:ascii="宋体" w:hAnsi="宋体" w:cs="宋体"/>
          <w:color w:val="auto"/>
          <w:sz w:val="24"/>
          <w:highlight w:val="none"/>
        </w:rPr>
      </w:pPr>
      <w:r>
        <w:rPr>
          <w:rFonts w:hint="eastAsia" w:ascii="宋体" w:hAnsi="宋体" w:cs="宋体"/>
          <w:color w:val="auto"/>
          <w:sz w:val="24"/>
          <w:highlight w:val="none"/>
        </w:rPr>
        <w:br w:type="page"/>
      </w:r>
    </w:p>
    <w:p w14:paraId="1032CBC3">
      <w:pPr>
        <w:pStyle w:val="98"/>
        <w:ind w:left="0" w:leftChars="0" w:firstLine="0" w:firstLineChars="0"/>
        <w:jc w:val="center"/>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）主要人员简历表</w:t>
      </w:r>
    </w:p>
    <w:tbl>
      <w:tblPr>
        <w:tblStyle w:val="43"/>
        <w:tblW w:w="8809"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903"/>
        <w:gridCol w:w="972"/>
        <w:gridCol w:w="1350"/>
        <w:gridCol w:w="1849"/>
        <w:gridCol w:w="371"/>
        <w:gridCol w:w="2040"/>
      </w:tblGrid>
      <w:tr w14:paraId="08FE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324" w:type="dxa"/>
            <w:vAlign w:val="center"/>
          </w:tcPr>
          <w:p w14:paraId="270E256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903" w:type="dxa"/>
            <w:vAlign w:val="center"/>
          </w:tcPr>
          <w:p w14:paraId="478BF90A">
            <w:pPr>
              <w:spacing w:line="360" w:lineRule="auto"/>
              <w:jc w:val="center"/>
              <w:rPr>
                <w:rFonts w:ascii="宋体" w:hAnsi="宋体" w:cs="宋体"/>
                <w:color w:val="auto"/>
                <w:sz w:val="24"/>
                <w:szCs w:val="24"/>
                <w:highlight w:val="none"/>
              </w:rPr>
            </w:pPr>
          </w:p>
        </w:tc>
        <w:tc>
          <w:tcPr>
            <w:tcW w:w="972" w:type="dxa"/>
            <w:vAlign w:val="center"/>
          </w:tcPr>
          <w:p w14:paraId="1218101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年龄</w:t>
            </w:r>
          </w:p>
        </w:tc>
        <w:tc>
          <w:tcPr>
            <w:tcW w:w="1350" w:type="dxa"/>
            <w:vAlign w:val="center"/>
          </w:tcPr>
          <w:p w14:paraId="3AEA807E">
            <w:pPr>
              <w:spacing w:line="360" w:lineRule="auto"/>
              <w:jc w:val="center"/>
              <w:rPr>
                <w:rFonts w:ascii="宋体" w:hAnsi="宋体" w:cs="宋体"/>
                <w:color w:val="auto"/>
                <w:sz w:val="24"/>
                <w:szCs w:val="24"/>
                <w:highlight w:val="none"/>
              </w:rPr>
            </w:pPr>
          </w:p>
        </w:tc>
        <w:tc>
          <w:tcPr>
            <w:tcW w:w="2220" w:type="dxa"/>
            <w:gridSpan w:val="2"/>
            <w:vAlign w:val="center"/>
          </w:tcPr>
          <w:p w14:paraId="3EC5CD2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执业资格证书（或上岗证书）名称</w:t>
            </w:r>
          </w:p>
        </w:tc>
        <w:tc>
          <w:tcPr>
            <w:tcW w:w="2040" w:type="dxa"/>
            <w:vAlign w:val="center"/>
          </w:tcPr>
          <w:p w14:paraId="31617645">
            <w:pPr>
              <w:spacing w:line="360" w:lineRule="auto"/>
              <w:jc w:val="center"/>
              <w:rPr>
                <w:rFonts w:ascii="宋体" w:hAnsi="宋体" w:cs="宋体"/>
                <w:color w:val="auto"/>
                <w:sz w:val="24"/>
                <w:szCs w:val="24"/>
                <w:highlight w:val="none"/>
              </w:rPr>
            </w:pPr>
          </w:p>
        </w:tc>
      </w:tr>
      <w:tr w14:paraId="6489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24" w:type="dxa"/>
            <w:vAlign w:val="center"/>
          </w:tcPr>
          <w:p w14:paraId="6E1ABC2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903" w:type="dxa"/>
            <w:vAlign w:val="center"/>
          </w:tcPr>
          <w:p w14:paraId="73F85A47">
            <w:pPr>
              <w:spacing w:line="360" w:lineRule="auto"/>
              <w:jc w:val="center"/>
              <w:rPr>
                <w:rFonts w:ascii="宋体" w:hAnsi="宋体" w:cs="宋体"/>
                <w:color w:val="auto"/>
                <w:sz w:val="24"/>
                <w:szCs w:val="24"/>
                <w:highlight w:val="none"/>
              </w:rPr>
            </w:pPr>
          </w:p>
        </w:tc>
        <w:tc>
          <w:tcPr>
            <w:tcW w:w="972" w:type="dxa"/>
            <w:vAlign w:val="center"/>
          </w:tcPr>
          <w:p w14:paraId="09D591FB">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1350" w:type="dxa"/>
            <w:vAlign w:val="center"/>
          </w:tcPr>
          <w:p w14:paraId="0D3B4FDA">
            <w:pPr>
              <w:spacing w:line="360" w:lineRule="auto"/>
              <w:jc w:val="center"/>
              <w:rPr>
                <w:rFonts w:ascii="宋体" w:hAnsi="宋体" w:cs="宋体"/>
                <w:color w:val="auto"/>
                <w:sz w:val="24"/>
                <w:szCs w:val="24"/>
                <w:highlight w:val="none"/>
              </w:rPr>
            </w:pPr>
          </w:p>
        </w:tc>
        <w:tc>
          <w:tcPr>
            <w:tcW w:w="2220" w:type="dxa"/>
            <w:gridSpan w:val="2"/>
            <w:vAlign w:val="center"/>
          </w:tcPr>
          <w:p w14:paraId="65DD0A3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拟在本项目任职</w:t>
            </w:r>
          </w:p>
        </w:tc>
        <w:tc>
          <w:tcPr>
            <w:tcW w:w="2040" w:type="dxa"/>
            <w:vAlign w:val="center"/>
          </w:tcPr>
          <w:p w14:paraId="6496E61C">
            <w:pPr>
              <w:spacing w:line="360" w:lineRule="auto"/>
              <w:jc w:val="center"/>
              <w:rPr>
                <w:rFonts w:ascii="宋体" w:hAnsi="宋体" w:cs="宋体"/>
                <w:color w:val="auto"/>
                <w:sz w:val="24"/>
                <w:szCs w:val="24"/>
                <w:highlight w:val="none"/>
              </w:rPr>
            </w:pPr>
          </w:p>
        </w:tc>
      </w:tr>
      <w:tr w14:paraId="3AC6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24" w:type="dxa"/>
            <w:vAlign w:val="center"/>
          </w:tcPr>
          <w:p w14:paraId="7948E3D2">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3225" w:type="dxa"/>
            <w:gridSpan w:val="3"/>
            <w:vAlign w:val="center"/>
          </w:tcPr>
          <w:p w14:paraId="411FFF75">
            <w:pPr>
              <w:spacing w:line="360" w:lineRule="auto"/>
              <w:jc w:val="center"/>
              <w:rPr>
                <w:rFonts w:ascii="宋体" w:hAnsi="宋体" w:cs="宋体"/>
                <w:color w:val="auto"/>
                <w:sz w:val="24"/>
                <w:szCs w:val="24"/>
                <w:highlight w:val="none"/>
              </w:rPr>
            </w:pPr>
          </w:p>
        </w:tc>
        <w:tc>
          <w:tcPr>
            <w:tcW w:w="2220" w:type="dxa"/>
            <w:gridSpan w:val="2"/>
            <w:vAlign w:val="center"/>
          </w:tcPr>
          <w:p w14:paraId="4F566B90">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专业年限</w:t>
            </w:r>
          </w:p>
        </w:tc>
        <w:tc>
          <w:tcPr>
            <w:tcW w:w="2040" w:type="dxa"/>
            <w:vAlign w:val="center"/>
          </w:tcPr>
          <w:p w14:paraId="0F9B343F">
            <w:pPr>
              <w:spacing w:line="360" w:lineRule="auto"/>
              <w:jc w:val="center"/>
              <w:rPr>
                <w:rFonts w:ascii="宋体" w:hAnsi="宋体" w:cs="宋体"/>
                <w:color w:val="auto"/>
                <w:sz w:val="24"/>
                <w:szCs w:val="24"/>
                <w:highlight w:val="none"/>
              </w:rPr>
            </w:pPr>
          </w:p>
        </w:tc>
      </w:tr>
      <w:tr w14:paraId="4EF9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324" w:type="dxa"/>
            <w:vAlign w:val="center"/>
          </w:tcPr>
          <w:p w14:paraId="0BBD96F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7485" w:type="dxa"/>
            <w:gridSpan w:val="6"/>
            <w:vAlign w:val="center"/>
          </w:tcPr>
          <w:p w14:paraId="7157F767">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年毕业于</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学校</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专业</w:t>
            </w:r>
          </w:p>
        </w:tc>
      </w:tr>
      <w:tr w14:paraId="60EB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809" w:type="dxa"/>
            <w:gridSpan w:val="7"/>
            <w:vAlign w:val="center"/>
          </w:tcPr>
          <w:p w14:paraId="6986E9C5">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14:paraId="2F13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324" w:type="dxa"/>
            <w:vAlign w:val="center"/>
          </w:tcPr>
          <w:p w14:paraId="3F6402BF">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时间</w:t>
            </w:r>
          </w:p>
        </w:tc>
        <w:tc>
          <w:tcPr>
            <w:tcW w:w="3225" w:type="dxa"/>
            <w:gridSpan w:val="3"/>
            <w:vAlign w:val="center"/>
          </w:tcPr>
          <w:p w14:paraId="18F3F29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849" w:type="dxa"/>
            <w:vAlign w:val="center"/>
          </w:tcPr>
          <w:p w14:paraId="6B0D83E3">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411" w:type="dxa"/>
            <w:gridSpan w:val="2"/>
            <w:vAlign w:val="center"/>
          </w:tcPr>
          <w:p w14:paraId="1948A35D">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发包人及联系电话</w:t>
            </w:r>
          </w:p>
        </w:tc>
      </w:tr>
      <w:tr w14:paraId="4CB7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324" w:type="dxa"/>
            <w:vAlign w:val="center"/>
          </w:tcPr>
          <w:p w14:paraId="619B5B67">
            <w:pPr>
              <w:spacing w:line="360" w:lineRule="auto"/>
              <w:jc w:val="center"/>
              <w:rPr>
                <w:rFonts w:ascii="宋体" w:hAnsi="宋体" w:cs="宋体"/>
                <w:color w:val="auto"/>
                <w:sz w:val="24"/>
                <w:szCs w:val="24"/>
                <w:highlight w:val="none"/>
              </w:rPr>
            </w:pPr>
          </w:p>
        </w:tc>
        <w:tc>
          <w:tcPr>
            <w:tcW w:w="3225" w:type="dxa"/>
            <w:gridSpan w:val="3"/>
            <w:vAlign w:val="center"/>
          </w:tcPr>
          <w:p w14:paraId="4C0A8C20">
            <w:pPr>
              <w:spacing w:line="360" w:lineRule="auto"/>
              <w:jc w:val="center"/>
              <w:rPr>
                <w:rFonts w:ascii="宋体" w:hAnsi="宋体" w:cs="宋体"/>
                <w:color w:val="auto"/>
                <w:sz w:val="24"/>
                <w:szCs w:val="24"/>
                <w:highlight w:val="none"/>
              </w:rPr>
            </w:pPr>
          </w:p>
        </w:tc>
        <w:tc>
          <w:tcPr>
            <w:tcW w:w="1849" w:type="dxa"/>
            <w:vAlign w:val="center"/>
          </w:tcPr>
          <w:p w14:paraId="3AF02814">
            <w:pPr>
              <w:spacing w:line="360" w:lineRule="auto"/>
              <w:jc w:val="center"/>
              <w:rPr>
                <w:rFonts w:ascii="宋体" w:hAnsi="宋体" w:cs="宋体"/>
                <w:color w:val="auto"/>
                <w:sz w:val="24"/>
                <w:szCs w:val="24"/>
                <w:highlight w:val="none"/>
              </w:rPr>
            </w:pPr>
          </w:p>
        </w:tc>
        <w:tc>
          <w:tcPr>
            <w:tcW w:w="2411" w:type="dxa"/>
            <w:gridSpan w:val="2"/>
            <w:vAlign w:val="center"/>
          </w:tcPr>
          <w:p w14:paraId="0810836F">
            <w:pPr>
              <w:spacing w:line="360" w:lineRule="auto"/>
              <w:jc w:val="center"/>
              <w:rPr>
                <w:rFonts w:ascii="宋体" w:hAnsi="宋体" w:cs="宋体"/>
                <w:color w:val="auto"/>
                <w:sz w:val="24"/>
                <w:szCs w:val="24"/>
                <w:highlight w:val="none"/>
              </w:rPr>
            </w:pPr>
          </w:p>
        </w:tc>
      </w:tr>
      <w:tr w14:paraId="17C3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324" w:type="dxa"/>
            <w:vAlign w:val="center"/>
          </w:tcPr>
          <w:p w14:paraId="614127E0">
            <w:pPr>
              <w:spacing w:line="360" w:lineRule="auto"/>
              <w:jc w:val="center"/>
              <w:rPr>
                <w:rFonts w:ascii="宋体" w:hAnsi="宋体" w:cs="宋体"/>
                <w:color w:val="auto"/>
                <w:sz w:val="24"/>
                <w:szCs w:val="24"/>
                <w:highlight w:val="none"/>
              </w:rPr>
            </w:pPr>
          </w:p>
        </w:tc>
        <w:tc>
          <w:tcPr>
            <w:tcW w:w="3225" w:type="dxa"/>
            <w:gridSpan w:val="3"/>
            <w:vAlign w:val="center"/>
          </w:tcPr>
          <w:p w14:paraId="0603C0C7">
            <w:pPr>
              <w:spacing w:line="360" w:lineRule="auto"/>
              <w:jc w:val="center"/>
              <w:rPr>
                <w:rFonts w:ascii="宋体" w:hAnsi="宋体" w:cs="宋体"/>
                <w:color w:val="auto"/>
                <w:sz w:val="24"/>
                <w:szCs w:val="24"/>
                <w:highlight w:val="none"/>
              </w:rPr>
            </w:pPr>
          </w:p>
        </w:tc>
        <w:tc>
          <w:tcPr>
            <w:tcW w:w="1849" w:type="dxa"/>
            <w:vAlign w:val="center"/>
          </w:tcPr>
          <w:p w14:paraId="252EFF16">
            <w:pPr>
              <w:spacing w:line="360" w:lineRule="auto"/>
              <w:jc w:val="center"/>
              <w:rPr>
                <w:rFonts w:ascii="宋体" w:hAnsi="宋体" w:cs="宋体"/>
                <w:color w:val="auto"/>
                <w:sz w:val="24"/>
                <w:szCs w:val="24"/>
                <w:highlight w:val="none"/>
              </w:rPr>
            </w:pPr>
          </w:p>
        </w:tc>
        <w:tc>
          <w:tcPr>
            <w:tcW w:w="2411" w:type="dxa"/>
            <w:gridSpan w:val="2"/>
            <w:vAlign w:val="center"/>
          </w:tcPr>
          <w:p w14:paraId="464725F6">
            <w:pPr>
              <w:spacing w:line="360" w:lineRule="auto"/>
              <w:jc w:val="center"/>
              <w:rPr>
                <w:rFonts w:ascii="宋体" w:hAnsi="宋体" w:cs="宋体"/>
                <w:color w:val="auto"/>
                <w:sz w:val="24"/>
                <w:szCs w:val="24"/>
                <w:highlight w:val="none"/>
              </w:rPr>
            </w:pPr>
          </w:p>
        </w:tc>
      </w:tr>
      <w:tr w14:paraId="64CB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324" w:type="dxa"/>
            <w:vAlign w:val="center"/>
          </w:tcPr>
          <w:p w14:paraId="64E7CA49">
            <w:pPr>
              <w:spacing w:line="360" w:lineRule="auto"/>
              <w:jc w:val="center"/>
              <w:rPr>
                <w:rFonts w:ascii="宋体" w:hAnsi="宋体" w:cs="宋体"/>
                <w:color w:val="auto"/>
                <w:sz w:val="24"/>
                <w:szCs w:val="24"/>
                <w:highlight w:val="none"/>
              </w:rPr>
            </w:pPr>
          </w:p>
        </w:tc>
        <w:tc>
          <w:tcPr>
            <w:tcW w:w="3225" w:type="dxa"/>
            <w:gridSpan w:val="3"/>
            <w:vAlign w:val="center"/>
          </w:tcPr>
          <w:p w14:paraId="17459AF2">
            <w:pPr>
              <w:spacing w:line="360" w:lineRule="auto"/>
              <w:jc w:val="center"/>
              <w:rPr>
                <w:rFonts w:ascii="宋体" w:hAnsi="宋体" w:cs="宋体"/>
                <w:color w:val="auto"/>
                <w:sz w:val="24"/>
                <w:szCs w:val="24"/>
                <w:highlight w:val="none"/>
              </w:rPr>
            </w:pPr>
          </w:p>
        </w:tc>
        <w:tc>
          <w:tcPr>
            <w:tcW w:w="1849" w:type="dxa"/>
            <w:vAlign w:val="center"/>
          </w:tcPr>
          <w:p w14:paraId="438AEB6A">
            <w:pPr>
              <w:spacing w:line="360" w:lineRule="auto"/>
              <w:jc w:val="center"/>
              <w:rPr>
                <w:rFonts w:ascii="宋体" w:hAnsi="宋体" w:cs="宋体"/>
                <w:color w:val="auto"/>
                <w:sz w:val="24"/>
                <w:szCs w:val="24"/>
                <w:highlight w:val="none"/>
              </w:rPr>
            </w:pPr>
          </w:p>
        </w:tc>
        <w:tc>
          <w:tcPr>
            <w:tcW w:w="2411" w:type="dxa"/>
            <w:gridSpan w:val="2"/>
            <w:vAlign w:val="center"/>
          </w:tcPr>
          <w:p w14:paraId="721F8342">
            <w:pPr>
              <w:spacing w:line="360" w:lineRule="auto"/>
              <w:jc w:val="center"/>
              <w:rPr>
                <w:rFonts w:ascii="宋体" w:hAnsi="宋体" w:cs="宋体"/>
                <w:color w:val="auto"/>
                <w:sz w:val="24"/>
                <w:szCs w:val="24"/>
                <w:highlight w:val="none"/>
              </w:rPr>
            </w:pPr>
          </w:p>
        </w:tc>
      </w:tr>
      <w:tr w14:paraId="0B07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324" w:type="dxa"/>
            <w:vAlign w:val="center"/>
          </w:tcPr>
          <w:p w14:paraId="1AC9928A">
            <w:pPr>
              <w:spacing w:line="360" w:lineRule="auto"/>
              <w:jc w:val="center"/>
              <w:rPr>
                <w:rFonts w:ascii="宋体" w:hAnsi="宋体" w:cs="宋体"/>
                <w:color w:val="auto"/>
                <w:sz w:val="24"/>
                <w:szCs w:val="24"/>
                <w:highlight w:val="none"/>
              </w:rPr>
            </w:pPr>
          </w:p>
        </w:tc>
        <w:tc>
          <w:tcPr>
            <w:tcW w:w="3225" w:type="dxa"/>
            <w:gridSpan w:val="3"/>
            <w:vAlign w:val="center"/>
          </w:tcPr>
          <w:p w14:paraId="67C58739">
            <w:pPr>
              <w:spacing w:line="360" w:lineRule="auto"/>
              <w:jc w:val="center"/>
              <w:rPr>
                <w:rFonts w:ascii="宋体" w:hAnsi="宋体" w:cs="宋体"/>
                <w:color w:val="auto"/>
                <w:sz w:val="24"/>
                <w:szCs w:val="24"/>
                <w:highlight w:val="none"/>
              </w:rPr>
            </w:pPr>
          </w:p>
        </w:tc>
        <w:tc>
          <w:tcPr>
            <w:tcW w:w="1849" w:type="dxa"/>
            <w:vAlign w:val="center"/>
          </w:tcPr>
          <w:p w14:paraId="64835D7A">
            <w:pPr>
              <w:spacing w:line="360" w:lineRule="auto"/>
              <w:jc w:val="center"/>
              <w:rPr>
                <w:rFonts w:ascii="宋体" w:hAnsi="宋体" w:cs="宋体"/>
                <w:color w:val="auto"/>
                <w:sz w:val="24"/>
                <w:szCs w:val="24"/>
                <w:highlight w:val="none"/>
              </w:rPr>
            </w:pPr>
          </w:p>
        </w:tc>
        <w:tc>
          <w:tcPr>
            <w:tcW w:w="2411" w:type="dxa"/>
            <w:gridSpan w:val="2"/>
            <w:vAlign w:val="center"/>
          </w:tcPr>
          <w:p w14:paraId="01B305B6">
            <w:pPr>
              <w:spacing w:line="360" w:lineRule="auto"/>
              <w:jc w:val="center"/>
              <w:rPr>
                <w:rFonts w:ascii="宋体" w:hAnsi="宋体" w:cs="宋体"/>
                <w:color w:val="auto"/>
                <w:sz w:val="24"/>
                <w:szCs w:val="24"/>
                <w:highlight w:val="none"/>
              </w:rPr>
            </w:pPr>
          </w:p>
        </w:tc>
      </w:tr>
      <w:tr w14:paraId="1D6E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324" w:type="dxa"/>
            <w:vAlign w:val="center"/>
          </w:tcPr>
          <w:p w14:paraId="3FB118FF">
            <w:pPr>
              <w:spacing w:line="360" w:lineRule="auto"/>
              <w:jc w:val="center"/>
              <w:rPr>
                <w:rFonts w:ascii="宋体" w:hAnsi="宋体" w:cs="宋体"/>
                <w:color w:val="auto"/>
                <w:sz w:val="24"/>
                <w:szCs w:val="24"/>
                <w:highlight w:val="none"/>
              </w:rPr>
            </w:pPr>
          </w:p>
        </w:tc>
        <w:tc>
          <w:tcPr>
            <w:tcW w:w="3225" w:type="dxa"/>
            <w:gridSpan w:val="3"/>
            <w:vAlign w:val="center"/>
          </w:tcPr>
          <w:p w14:paraId="28CB33D9">
            <w:pPr>
              <w:spacing w:line="360" w:lineRule="auto"/>
              <w:jc w:val="center"/>
              <w:rPr>
                <w:rFonts w:ascii="宋体" w:hAnsi="宋体" w:cs="宋体"/>
                <w:color w:val="auto"/>
                <w:sz w:val="24"/>
                <w:szCs w:val="24"/>
                <w:highlight w:val="none"/>
              </w:rPr>
            </w:pPr>
          </w:p>
        </w:tc>
        <w:tc>
          <w:tcPr>
            <w:tcW w:w="1849" w:type="dxa"/>
            <w:vAlign w:val="center"/>
          </w:tcPr>
          <w:p w14:paraId="3DD4018A">
            <w:pPr>
              <w:spacing w:line="360" w:lineRule="auto"/>
              <w:jc w:val="center"/>
              <w:rPr>
                <w:rFonts w:ascii="宋体" w:hAnsi="宋体" w:cs="宋体"/>
                <w:color w:val="auto"/>
                <w:sz w:val="24"/>
                <w:szCs w:val="24"/>
                <w:highlight w:val="none"/>
              </w:rPr>
            </w:pPr>
          </w:p>
        </w:tc>
        <w:tc>
          <w:tcPr>
            <w:tcW w:w="2411" w:type="dxa"/>
            <w:gridSpan w:val="2"/>
            <w:vAlign w:val="center"/>
          </w:tcPr>
          <w:p w14:paraId="19DDE7E8">
            <w:pPr>
              <w:spacing w:line="360" w:lineRule="auto"/>
              <w:jc w:val="center"/>
              <w:rPr>
                <w:rFonts w:ascii="宋体" w:hAnsi="宋体" w:cs="宋体"/>
                <w:color w:val="auto"/>
                <w:sz w:val="24"/>
                <w:szCs w:val="24"/>
                <w:highlight w:val="none"/>
              </w:rPr>
            </w:pPr>
          </w:p>
        </w:tc>
      </w:tr>
      <w:tr w14:paraId="39CEF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324" w:type="dxa"/>
            <w:vAlign w:val="center"/>
          </w:tcPr>
          <w:p w14:paraId="73DE5681">
            <w:pPr>
              <w:spacing w:line="360" w:lineRule="auto"/>
              <w:jc w:val="center"/>
              <w:rPr>
                <w:rFonts w:ascii="宋体" w:hAnsi="宋体" w:cs="宋体"/>
                <w:color w:val="auto"/>
                <w:sz w:val="24"/>
                <w:szCs w:val="24"/>
                <w:highlight w:val="none"/>
              </w:rPr>
            </w:pPr>
          </w:p>
        </w:tc>
        <w:tc>
          <w:tcPr>
            <w:tcW w:w="3225" w:type="dxa"/>
            <w:gridSpan w:val="3"/>
            <w:vAlign w:val="center"/>
          </w:tcPr>
          <w:p w14:paraId="007D5315">
            <w:pPr>
              <w:spacing w:line="360" w:lineRule="auto"/>
              <w:jc w:val="center"/>
              <w:rPr>
                <w:rFonts w:ascii="宋体" w:hAnsi="宋体" w:cs="宋体"/>
                <w:color w:val="auto"/>
                <w:sz w:val="24"/>
                <w:szCs w:val="24"/>
                <w:highlight w:val="none"/>
              </w:rPr>
            </w:pPr>
          </w:p>
        </w:tc>
        <w:tc>
          <w:tcPr>
            <w:tcW w:w="1849" w:type="dxa"/>
            <w:vAlign w:val="center"/>
          </w:tcPr>
          <w:p w14:paraId="7A8C5B56">
            <w:pPr>
              <w:spacing w:line="360" w:lineRule="auto"/>
              <w:jc w:val="center"/>
              <w:rPr>
                <w:rFonts w:ascii="宋体" w:hAnsi="宋体" w:cs="宋体"/>
                <w:color w:val="auto"/>
                <w:sz w:val="24"/>
                <w:szCs w:val="24"/>
                <w:highlight w:val="none"/>
              </w:rPr>
            </w:pPr>
          </w:p>
        </w:tc>
        <w:tc>
          <w:tcPr>
            <w:tcW w:w="2411" w:type="dxa"/>
            <w:gridSpan w:val="2"/>
            <w:vAlign w:val="center"/>
          </w:tcPr>
          <w:p w14:paraId="098B8748">
            <w:pPr>
              <w:spacing w:line="360" w:lineRule="auto"/>
              <w:jc w:val="center"/>
              <w:rPr>
                <w:rFonts w:ascii="宋体" w:hAnsi="宋体" w:cs="宋体"/>
                <w:color w:val="auto"/>
                <w:sz w:val="24"/>
                <w:szCs w:val="24"/>
                <w:highlight w:val="none"/>
              </w:rPr>
            </w:pPr>
          </w:p>
        </w:tc>
      </w:tr>
      <w:tr w14:paraId="58A5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324" w:type="dxa"/>
            <w:vAlign w:val="center"/>
          </w:tcPr>
          <w:p w14:paraId="71436C77">
            <w:pPr>
              <w:spacing w:line="360" w:lineRule="auto"/>
              <w:jc w:val="center"/>
              <w:rPr>
                <w:rFonts w:ascii="宋体" w:hAnsi="宋体" w:cs="宋体"/>
                <w:color w:val="auto"/>
                <w:sz w:val="24"/>
                <w:szCs w:val="24"/>
                <w:highlight w:val="none"/>
              </w:rPr>
            </w:pPr>
          </w:p>
        </w:tc>
        <w:tc>
          <w:tcPr>
            <w:tcW w:w="3225" w:type="dxa"/>
            <w:gridSpan w:val="3"/>
            <w:vAlign w:val="center"/>
          </w:tcPr>
          <w:p w14:paraId="3F0F0C34">
            <w:pPr>
              <w:spacing w:line="360" w:lineRule="auto"/>
              <w:jc w:val="center"/>
              <w:rPr>
                <w:rFonts w:ascii="宋体" w:hAnsi="宋体" w:cs="宋体"/>
                <w:color w:val="auto"/>
                <w:sz w:val="24"/>
                <w:szCs w:val="24"/>
                <w:highlight w:val="none"/>
              </w:rPr>
            </w:pPr>
          </w:p>
        </w:tc>
        <w:tc>
          <w:tcPr>
            <w:tcW w:w="1849" w:type="dxa"/>
            <w:vAlign w:val="center"/>
          </w:tcPr>
          <w:p w14:paraId="18A4A54C">
            <w:pPr>
              <w:spacing w:line="360" w:lineRule="auto"/>
              <w:jc w:val="center"/>
              <w:rPr>
                <w:rFonts w:ascii="宋体" w:hAnsi="宋体" w:cs="宋体"/>
                <w:color w:val="auto"/>
                <w:sz w:val="24"/>
                <w:szCs w:val="24"/>
                <w:highlight w:val="none"/>
              </w:rPr>
            </w:pPr>
          </w:p>
        </w:tc>
        <w:tc>
          <w:tcPr>
            <w:tcW w:w="2411" w:type="dxa"/>
            <w:gridSpan w:val="2"/>
            <w:vAlign w:val="center"/>
          </w:tcPr>
          <w:p w14:paraId="782A9E2E">
            <w:pPr>
              <w:spacing w:line="360" w:lineRule="auto"/>
              <w:jc w:val="center"/>
              <w:rPr>
                <w:rFonts w:ascii="宋体" w:hAnsi="宋体" w:cs="宋体"/>
                <w:color w:val="auto"/>
                <w:sz w:val="24"/>
                <w:szCs w:val="24"/>
                <w:highlight w:val="none"/>
              </w:rPr>
            </w:pPr>
          </w:p>
        </w:tc>
      </w:tr>
    </w:tbl>
    <w:p w14:paraId="66B72338">
      <w:pPr>
        <w:spacing w:line="360" w:lineRule="auto"/>
        <w:ind w:firstLine="602" w:firstLineChars="250"/>
        <w:rPr>
          <w:rFonts w:ascii="宋体" w:hAnsi="宋体" w:cs="宋体"/>
          <w:b/>
          <w:bCs/>
          <w:color w:val="auto"/>
          <w:sz w:val="24"/>
          <w:szCs w:val="24"/>
          <w:highlight w:val="none"/>
        </w:rPr>
      </w:pPr>
      <w:r>
        <w:rPr>
          <w:rFonts w:hint="eastAsia" w:ascii="宋体" w:hAnsi="宋体" w:cs="宋体"/>
          <w:b/>
          <w:bCs/>
          <w:color w:val="auto"/>
          <w:sz w:val="24"/>
          <w:szCs w:val="24"/>
          <w:highlight w:val="none"/>
        </w:rPr>
        <w:t>注：</w:t>
      </w:r>
      <w:r>
        <w:rPr>
          <w:rFonts w:hint="eastAsia" w:ascii="宋体" w:hAnsi="宋体" w:eastAsia="宋体" w:cs="宋体"/>
          <w:b/>
          <w:bCs/>
          <w:i w:val="0"/>
          <w:iCs w:val="0"/>
          <w:color w:val="auto"/>
          <w:kern w:val="0"/>
          <w:sz w:val="24"/>
          <w:szCs w:val="24"/>
          <w:highlight w:val="none"/>
          <w:u w:val="none"/>
          <w:lang w:val="en-US" w:eastAsia="zh-CN" w:bidi="ar"/>
        </w:rPr>
        <w:t>拟投入本项目的人员应附身份证、相关证书、职称证的原件扫描件、相关承诺书、劳动合同及缴纳在投标单位近三个月的社保证明。</w:t>
      </w:r>
    </w:p>
    <w:p w14:paraId="7222DEFF">
      <w:pPr>
        <w:spacing w:line="360" w:lineRule="auto"/>
        <w:ind w:firstLine="602" w:firstLineChars="250"/>
        <w:rPr>
          <w:rFonts w:hint="eastAsia" w:ascii="宋体" w:hAnsi="宋体" w:cs="宋体"/>
          <w:b/>
          <w:bCs/>
          <w:color w:val="auto"/>
          <w:sz w:val="24"/>
          <w:szCs w:val="24"/>
          <w:highlight w:val="none"/>
        </w:rPr>
      </w:pPr>
    </w:p>
    <w:p w14:paraId="63F72BCB">
      <w:pPr>
        <w:spacing w:line="360" w:lineRule="auto"/>
        <w:rPr>
          <w:rFonts w:hint="eastAsia" w:ascii="宋体" w:hAnsi="宋体" w:cs="宋体"/>
          <w:color w:val="auto"/>
          <w:sz w:val="32"/>
          <w:szCs w:val="32"/>
          <w:highlight w:val="none"/>
          <w:lang w:eastAsia="zh-CN"/>
        </w:rPr>
      </w:pPr>
      <w:r>
        <w:rPr>
          <w:rFonts w:hint="eastAsia" w:ascii="宋体" w:hAnsi="宋体" w:cs="宋体"/>
          <w:color w:val="auto"/>
          <w:sz w:val="24"/>
          <w:szCs w:val="24"/>
          <w:highlight w:val="none"/>
        </w:rPr>
        <w:tab/>
      </w:r>
    </w:p>
    <w:p w14:paraId="260E1FC7">
      <w:pPr>
        <w:pStyle w:val="98"/>
        <w:ind w:firstLine="141"/>
        <w:jc w:val="center"/>
        <w:outlineLvl w:val="1"/>
        <w:rPr>
          <w:rFonts w:hint="eastAsia" w:ascii="宋体" w:hAnsi="宋体" w:eastAsia="宋体" w:cs="宋体"/>
          <w:b/>
          <w:color w:val="auto"/>
          <w:sz w:val="32"/>
          <w:szCs w:val="28"/>
          <w:highlight w:val="none"/>
          <w:lang w:val="en-US" w:eastAsia="zh-CN"/>
        </w:rPr>
      </w:pPr>
    </w:p>
    <w:p w14:paraId="48503A14">
      <w:pPr>
        <w:pStyle w:val="98"/>
        <w:ind w:firstLine="141"/>
        <w:jc w:val="center"/>
        <w:outlineLvl w:val="1"/>
        <w:rPr>
          <w:rFonts w:hint="eastAsia" w:ascii="宋体" w:hAnsi="宋体" w:eastAsia="宋体" w:cs="宋体"/>
          <w:b/>
          <w:color w:val="auto"/>
          <w:sz w:val="32"/>
          <w:szCs w:val="28"/>
          <w:highlight w:val="none"/>
          <w:lang w:val="en-US" w:eastAsia="zh-CN"/>
        </w:rPr>
      </w:pPr>
      <w:r>
        <w:rPr>
          <w:rFonts w:hint="eastAsia" w:ascii="宋体" w:hAnsi="宋体" w:eastAsia="宋体" w:cs="宋体"/>
          <w:b/>
          <w:color w:val="auto"/>
          <w:sz w:val="32"/>
          <w:szCs w:val="28"/>
          <w:highlight w:val="none"/>
          <w:lang w:val="en-US" w:eastAsia="zh-CN"/>
        </w:rPr>
        <w:t>六</w:t>
      </w:r>
      <w:r>
        <w:rPr>
          <w:rFonts w:hint="eastAsia" w:ascii="宋体" w:hAnsi="宋体" w:eastAsia="宋体" w:cs="宋体"/>
          <w:b/>
          <w:color w:val="auto"/>
          <w:sz w:val="32"/>
          <w:szCs w:val="28"/>
          <w:highlight w:val="none"/>
        </w:rPr>
        <w:t>、</w:t>
      </w:r>
      <w:bookmarkEnd w:id="294"/>
      <w:r>
        <w:rPr>
          <w:rFonts w:hint="eastAsia" w:ascii="宋体" w:hAnsi="宋体" w:eastAsia="宋体" w:cs="宋体"/>
          <w:b/>
          <w:color w:val="auto"/>
          <w:sz w:val="32"/>
          <w:szCs w:val="28"/>
          <w:highlight w:val="none"/>
          <w:lang w:val="en-US" w:eastAsia="zh-CN"/>
        </w:rPr>
        <w:t>企业业绩</w:t>
      </w:r>
    </w:p>
    <w:p w14:paraId="23BA1457">
      <w:pPr>
        <w:pStyle w:val="98"/>
        <w:ind w:firstLine="141"/>
        <w:jc w:val="center"/>
        <w:outlineLvl w:val="1"/>
        <w:rPr>
          <w:rFonts w:hint="default" w:ascii="宋体" w:hAnsi="宋体" w:eastAsia="宋体" w:cs="宋体"/>
          <w:b/>
          <w:color w:val="auto"/>
          <w:sz w:val="32"/>
          <w:szCs w:val="28"/>
          <w:highlight w:val="none"/>
          <w:lang w:val="en-US" w:eastAsia="zh-CN"/>
        </w:rPr>
      </w:pPr>
      <w:r>
        <w:rPr>
          <w:rFonts w:hint="eastAsia" w:ascii="宋体" w:hAnsi="宋体" w:cs="仿宋"/>
          <w:b w:val="0"/>
          <w:bCs w:val="0"/>
          <w:color w:val="auto"/>
          <w:kern w:val="2"/>
          <w:sz w:val="28"/>
          <w:szCs w:val="28"/>
          <w:highlight w:val="none"/>
          <w:u w:color="000000"/>
          <w:lang w:val="en-US" w:eastAsia="zh-CN" w:bidi="ar-SA"/>
        </w:rPr>
        <w:t>2022</w:t>
      </w:r>
      <w:r>
        <w:rPr>
          <w:rFonts w:hint="eastAsia" w:ascii="宋体" w:hAnsi="宋体" w:eastAsia="宋体" w:cs="仿宋"/>
          <w:b w:val="0"/>
          <w:bCs w:val="0"/>
          <w:color w:val="auto"/>
          <w:kern w:val="2"/>
          <w:sz w:val="28"/>
          <w:szCs w:val="28"/>
          <w:highlight w:val="none"/>
          <w:u w:color="000000"/>
          <w:lang w:val="en-US" w:eastAsia="zh-CN" w:bidi="ar-SA"/>
        </w:rPr>
        <w:t>年以来完成的类似项目情况表</w:t>
      </w:r>
    </w:p>
    <w:tbl>
      <w:tblPr>
        <w:tblStyle w:val="162"/>
        <w:tblW w:w="89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02"/>
        <w:gridCol w:w="5988"/>
      </w:tblGrid>
      <w:tr w14:paraId="78FEE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3002" w:type="dxa"/>
            <w:vAlign w:val="top"/>
          </w:tcPr>
          <w:p w14:paraId="0B6374E5">
            <w:pPr>
              <w:spacing w:before="225" w:line="220" w:lineRule="auto"/>
              <w:jc w:val="center"/>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项目名称</w:t>
            </w:r>
          </w:p>
        </w:tc>
        <w:tc>
          <w:tcPr>
            <w:tcW w:w="5988" w:type="dxa"/>
            <w:vAlign w:val="top"/>
          </w:tcPr>
          <w:p w14:paraId="3254EEE8">
            <w:pPr>
              <w:jc w:val="center"/>
              <w:rPr>
                <w:rFonts w:ascii="Arial"/>
                <w:color w:val="auto"/>
                <w:sz w:val="21"/>
                <w:highlight w:val="none"/>
              </w:rPr>
            </w:pPr>
          </w:p>
        </w:tc>
      </w:tr>
      <w:tr w14:paraId="41D97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02" w:type="dxa"/>
            <w:vAlign w:val="top"/>
          </w:tcPr>
          <w:p w14:paraId="066711ED">
            <w:pPr>
              <w:spacing w:before="201" w:line="220" w:lineRule="auto"/>
              <w:jc w:val="center"/>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项目所在地</w:t>
            </w:r>
          </w:p>
        </w:tc>
        <w:tc>
          <w:tcPr>
            <w:tcW w:w="5988" w:type="dxa"/>
            <w:vAlign w:val="top"/>
          </w:tcPr>
          <w:p w14:paraId="37CF0975">
            <w:pPr>
              <w:jc w:val="center"/>
              <w:rPr>
                <w:rFonts w:ascii="Arial"/>
                <w:color w:val="auto"/>
                <w:sz w:val="21"/>
                <w:highlight w:val="none"/>
              </w:rPr>
            </w:pPr>
          </w:p>
        </w:tc>
      </w:tr>
      <w:tr w14:paraId="6B983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02" w:type="dxa"/>
            <w:vAlign w:val="top"/>
          </w:tcPr>
          <w:p w14:paraId="1D5A7FF0">
            <w:pPr>
              <w:spacing w:before="202" w:line="220" w:lineRule="auto"/>
              <w:jc w:val="center"/>
              <w:rPr>
                <w:rFonts w:ascii="宋体" w:hAnsi="宋体" w:eastAsia="宋体" w:cs="宋体"/>
                <w:color w:val="auto"/>
                <w:sz w:val="24"/>
                <w:szCs w:val="24"/>
                <w:highlight w:val="none"/>
              </w:rPr>
            </w:pPr>
            <w:r>
              <w:rPr>
                <w:rFonts w:hint="eastAsia" w:ascii="宋体" w:hAnsi="宋体" w:cs="宋体"/>
                <w:color w:val="auto"/>
                <w:spacing w:val="2"/>
                <w:sz w:val="24"/>
                <w:szCs w:val="24"/>
                <w:highlight w:val="none"/>
                <w:lang w:eastAsia="zh-CN"/>
              </w:rPr>
              <w:t>采购人</w:t>
            </w:r>
            <w:r>
              <w:rPr>
                <w:rFonts w:ascii="宋体" w:hAnsi="宋体" w:eastAsia="宋体" w:cs="宋体"/>
                <w:color w:val="auto"/>
                <w:spacing w:val="2"/>
                <w:sz w:val="24"/>
                <w:szCs w:val="24"/>
                <w:highlight w:val="none"/>
              </w:rPr>
              <w:t>名称</w:t>
            </w:r>
          </w:p>
        </w:tc>
        <w:tc>
          <w:tcPr>
            <w:tcW w:w="5988" w:type="dxa"/>
            <w:vAlign w:val="top"/>
          </w:tcPr>
          <w:p w14:paraId="76145F93">
            <w:pPr>
              <w:jc w:val="center"/>
              <w:rPr>
                <w:rFonts w:ascii="Arial"/>
                <w:color w:val="auto"/>
                <w:sz w:val="21"/>
                <w:highlight w:val="none"/>
              </w:rPr>
            </w:pPr>
          </w:p>
        </w:tc>
      </w:tr>
      <w:tr w14:paraId="3C923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02" w:type="dxa"/>
            <w:vAlign w:val="top"/>
          </w:tcPr>
          <w:p w14:paraId="36FF99AA">
            <w:pPr>
              <w:spacing w:before="203" w:line="220" w:lineRule="auto"/>
              <w:jc w:val="center"/>
              <w:rPr>
                <w:rFonts w:ascii="宋体" w:hAnsi="宋体" w:eastAsia="宋体" w:cs="宋体"/>
                <w:color w:val="auto"/>
                <w:sz w:val="24"/>
                <w:szCs w:val="24"/>
                <w:highlight w:val="none"/>
              </w:rPr>
            </w:pPr>
            <w:r>
              <w:rPr>
                <w:rFonts w:hint="eastAsia" w:ascii="宋体" w:hAnsi="宋体" w:cs="宋体"/>
                <w:color w:val="auto"/>
                <w:spacing w:val="2"/>
                <w:sz w:val="24"/>
                <w:szCs w:val="24"/>
                <w:highlight w:val="none"/>
                <w:lang w:eastAsia="zh-CN"/>
              </w:rPr>
              <w:t>采购人</w:t>
            </w:r>
            <w:r>
              <w:rPr>
                <w:rFonts w:ascii="宋体" w:hAnsi="宋体" w:eastAsia="宋体" w:cs="宋体"/>
                <w:color w:val="auto"/>
                <w:spacing w:val="2"/>
                <w:sz w:val="24"/>
                <w:szCs w:val="24"/>
                <w:highlight w:val="none"/>
              </w:rPr>
              <w:t>地址</w:t>
            </w:r>
          </w:p>
        </w:tc>
        <w:tc>
          <w:tcPr>
            <w:tcW w:w="5988" w:type="dxa"/>
            <w:vAlign w:val="top"/>
          </w:tcPr>
          <w:p w14:paraId="31D998A6">
            <w:pPr>
              <w:jc w:val="center"/>
              <w:rPr>
                <w:rFonts w:ascii="Arial"/>
                <w:color w:val="auto"/>
                <w:sz w:val="21"/>
                <w:highlight w:val="none"/>
              </w:rPr>
            </w:pPr>
          </w:p>
        </w:tc>
      </w:tr>
      <w:tr w14:paraId="66D88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02" w:type="dxa"/>
            <w:vAlign w:val="top"/>
          </w:tcPr>
          <w:p w14:paraId="57724B80">
            <w:pPr>
              <w:spacing w:before="204" w:line="220" w:lineRule="auto"/>
              <w:jc w:val="center"/>
              <w:rPr>
                <w:rFonts w:ascii="宋体" w:hAnsi="宋体" w:eastAsia="宋体" w:cs="宋体"/>
                <w:color w:val="auto"/>
                <w:sz w:val="24"/>
                <w:szCs w:val="24"/>
                <w:highlight w:val="none"/>
              </w:rPr>
            </w:pPr>
            <w:r>
              <w:rPr>
                <w:rFonts w:hint="eastAsia" w:ascii="宋体" w:hAnsi="宋体" w:cs="宋体"/>
                <w:color w:val="auto"/>
                <w:spacing w:val="-2"/>
                <w:sz w:val="24"/>
                <w:szCs w:val="24"/>
                <w:highlight w:val="none"/>
                <w:lang w:eastAsia="zh-CN"/>
              </w:rPr>
              <w:t>采购人</w:t>
            </w:r>
            <w:r>
              <w:rPr>
                <w:rFonts w:ascii="宋体" w:hAnsi="宋体" w:eastAsia="宋体" w:cs="宋体"/>
                <w:color w:val="auto"/>
                <w:spacing w:val="-2"/>
                <w:sz w:val="24"/>
                <w:szCs w:val="24"/>
                <w:highlight w:val="none"/>
              </w:rPr>
              <w:t>电话</w:t>
            </w:r>
          </w:p>
        </w:tc>
        <w:tc>
          <w:tcPr>
            <w:tcW w:w="5988" w:type="dxa"/>
            <w:vAlign w:val="top"/>
          </w:tcPr>
          <w:p w14:paraId="219A143E">
            <w:pPr>
              <w:jc w:val="center"/>
              <w:rPr>
                <w:rFonts w:ascii="Arial"/>
                <w:color w:val="auto"/>
                <w:sz w:val="21"/>
                <w:highlight w:val="none"/>
              </w:rPr>
            </w:pPr>
          </w:p>
        </w:tc>
      </w:tr>
      <w:tr w14:paraId="77CB7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02" w:type="dxa"/>
            <w:vAlign w:val="top"/>
          </w:tcPr>
          <w:p w14:paraId="54C37AE9">
            <w:pPr>
              <w:spacing w:before="202" w:line="218" w:lineRule="auto"/>
              <w:jc w:val="center"/>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合同价格</w:t>
            </w:r>
          </w:p>
        </w:tc>
        <w:tc>
          <w:tcPr>
            <w:tcW w:w="5988" w:type="dxa"/>
            <w:vAlign w:val="top"/>
          </w:tcPr>
          <w:p w14:paraId="47DAD5B5">
            <w:pPr>
              <w:jc w:val="center"/>
              <w:rPr>
                <w:rFonts w:ascii="Arial"/>
                <w:color w:val="auto"/>
                <w:sz w:val="21"/>
                <w:highlight w:val="none"/>
              </w:rPr>
            </w:pPr>
          </w:p>
        </w:tc>
      </w:tr>
      <w:tr w14:paraId="1D538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02" w:type="dxa"/>
            <w:vAlign w:val="top"/>
          </w:tcPr>
          <w:p w14:paraId="2405EAB8">
            <w:pPr>
              <w:spacing w:before="206" w:line="220" w:lineRule="auto"/>
              <w:jc w:val="center"/>
              <w:rPr>
                <w:rFonts w:hint="default"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合同签订日期</w:t>
            </w:r>
          </w:p>
        </w:tc>
        <w:tc>
          <w:tcPr>
            <w:tcW w:w="5988" w:type="dxa"/>
            <w:vAlign w:val="top"/>
          </w:tcPr>
          <w:p w14:paraId="605A2116">
            <w:pPr>
              <w:spacing w:before="156" w:line="232" w:lineRule="auto"/>
              <w:ind w:left="1822"/>
              <w:jc w:val="center"/>
              <w:rPr>
                <w:rFonts w:ascii="宋体" w:hAnsi="宋体" w:eastAsia="宋体" w:cs="宋体"/>
                <w:color w:val="auto"/>
                <w:sz w:val="24"/>
                <w:szCs w:val="24"/>
                <w:highlight w:val="none"/>
              </w:rPr>
            </w:pPr>
          </w:p>
        </w:tc>
      </w:tr>
      <w:tr w14:paraId="7C5FB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002" w:type="dxa"/>
            <w:vAlign w:val="top"/>
          </w:tcPr>
          <w:p w14:paraId="7D4FC96F">
            <w:pPr>
              <w:spacing w:before="206" w:line="22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val="en-US" w:eastAsia="zh-CN"/>
              </w:rPr>
              <w:t>服务期</w:t>
            </w:r>
          </w:p>
        </w:tc>
        <w:tc>
          <w:tcPr>
            <w:tcW w:w="5988" w:type="dxa"/>
            <w:vAlign w:val="top"/>
          </w:tcPr>
          <w:p w14:paraId="452672FD">
            <w:pPr>
              <w:spacing w:before="156" w:line="232" w:lineRule="auto"/>
              <w:ind w:left="1822"/>
              <w:jc w:val="center"/>
              <w:rPr>
                <w:rFonts w:ascii="宋体" w:hAnsi="宋体" w:eastAsia="宋体" w:cs="宋体"/>
                <w:color w:val="auto"/>
                <w:sz w:val="24"/>
                <w:szCs w:val="24"/>
                <w:highlight w:val="none"/>
              </w:rPr>
            </w:pPr>
          </w:p>
        </w:tc>
      </w:tr>
      <w:tr w14:paraId="17517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6" w:hRule="atLeast"/>
        </w:trPr>
        <w:tc>
          <w:tcPr>
            <w:tcW w:w="3002" w:type="dxa"/>
            <w:vAlign w:val="top"/>
          </w:tcPr>
          <w:p w14:paraId="64EBE205">
            <w:pPr>
              <w:spacing w:line="260" w:lineRule="auto"/>
              <w:jc w:val="center"/>
              <w:rPr>
                <w:rFonts w:ascii="Arial"/>
                <w:color w:val="auto"/>
                <w:sz w:val="21"/>
                <w:highlight w:val="none"/>
              </w:rPr>
            </w:pPr>
          </w:p>
          <w:p w14:paraId="2274A722">
            <w:pPr>
              <w:spacing w:line="260" w:lineRule="auto"/>
              <w:jc w:val="center"/>
              <w:rPr>
                <w:rFonts w:ascii="Arial"/>
                <w:color w:val="auto"/>
                <w:sz w:val="21"/>
                <w:highlight w:val="none"/>
              </w:rPr>
            </w:pPr>
          </w:p>
          <w:p w14:paraId="545E2DF7">
            <w:pPr>
              <w:spacing w:line="260" w:lineRule="auto"/>
              <w:jc w:val="center"/>
              <w:rPr>
                <w:rFonts w:ascii="Arial"/>
                <w:color w:val="auto"/>
                <w:sz w:val="21"/>
                <w:highlight w:val="none"/>
              </w:rPr>
            </w:pPr>
          </w:p>
          <w:p w14:paraId="4D909E0F">
            <w:pPr>
              <w:spacing w:line="260" w:lineRule="auto"/>
              <w:jc w:val="center"/>
              <w:rPr>
                <w:rFonts w:ascii="Arial"/>
                <w:color w:val="auto"/>
                <w:sz w:val="21"/>
                <w:highlight w:val="none"/>
              </w:rPr>
            </w:pPr>
          </w:p>
          <w:p w14:paraId="4A62E23D">
            <w:pPr>
              <w:spacing w:before="78" w:line="219" w:lineRule="auto"/>
              <w:jc w:val="center"/>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采购内容</w:t>
            </w:r>
          </w:p>
        </w:tc>
        <w:tc>
          <w:tcPr>
            <w:tcW w:w="5988" w:type="dxa"/>
            <w:vAlign w:val="top"/>
          </w:tcPr>
          <w:p w14:paraId="46271310">
            <w:pPr>
              <w:jc w:val="center"/>
              <w:rPr>
                <w:rFonts w:ascii="Arial"/>
                <w:color w:val="auto"/>
                <w:sz w:val="21"/>
                <w:highlight w:val="none"/>
              </w:rPr>
            </w:pPr>
          </w:p>
        </w:tc>
      </w:tr>
      <w:tr w14:paraId="5BC44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3002" w:type="dxa"/>
            <w:vAlign w:val="top"/>
          </w:tcPr>
          <w:p w14:paraId="7DBBF572">
            <w:pPr>
              <w:spacing w:before="210" w:line="22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pacing w:val="2"/>
                <w:sz w:val="24"/>
                <w:szCs w:val="24"/>
                <w:highlight w:val="none"/>
                <w:lang w:eastAsia="zh-CN"/>
              </w:rPr>
              <w:t>服务标准</w:t>
            </w:r>
          </w:p>
        </w:tc>
        <w:tc>
          <w:tcPr>
            <w:tcW w:w="5988" w:type="dxa"/>
            <w:vAlign w:val="top"/>
          </w:tcPr>
          <w:p w14:paraId="147001DA">
            <w:pPr>
              <w:jc w:val="center"/>
              <w:rPr>
                <w:rFonts w:ascii="Arial"/>
                <w:color w:val="auto"/>
                <w:sz w:val="21"/>
                <w:highlight w:val="none"/>
              </w:rPr>
            </w:pPr>
          </w:p>
        </w:tc>
      </w:tr>
      <w:tr w14:paraId="4E902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3002" w:type="dxa"/>
            <w:vAlign w:val="top"/>
          </w:tcPr>
          <w:p w14:paraId="272A72A2">
            <w:pPr>
              <w:spacing w:before="211" w:line="221" w:lineRule="auto"/>
              <w:jc w:val="center"/>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备注</w:t>
            </w:r>
          </w:p>
        </w:tc>
        <w:tc>
          <w:tcPr>
            <w:tcW w:w="5988" w:type="dxa"/>
            <w:vAlign w:val="top"/>
          </w:tcPr>
          <w:p w14:paraId="292AECBE">
            <w:pPr>
              <w:jc w:val="center"/>
              <w:rPr>
                <w:rFonts w:ascii="Arial"/>
                <w:color w:val="auto"/>
                <w:sz w:val="21"/>
                <w:highlight w:val="none"/>
              </w:rPr>
            </w:pPr>
          </w:p>
        </w:tc>
      </w:tr>
    </w:tbl>
    <w:p w14:paraId="02EB1DCB">
      <w:pPr>
        <w:adjustRightInd w:val="0"/>
        <w:snapToGrid w:val="0"/>
        <w:spacing w:line="360" w:lineRule="auto"/>
        <w:rPr>
          <w:rFonts w:ascii="宋体" w:hAnsi="宋体" w:cs="宋体"/>
          <w:b/>
          <w:color w:val="auto"/>
          <w:sz w:val="24"/>
          <w:highlight w:val="none"/>
        </w:rPr>
      </w:pPr>
      <w:r>
        <w:rPr>
          <w:rFonts w:hint="eastAsia" w:ascii="宋体" w:hAnsi="宋体" w:eastAsia="宋体" w:cs="宋体"/>
          <w:b/>
          <w:bCs/>
          <w:color w:val="auto"/>
          <w:spacing w:val="4"/>
          <w:sz w:val="22"/>
          <w:szCs w:val="22"/>
          <w:highlight w:val="none"/>
          <w:lang w:val="en-US" w:eastAsia="zh-CN"/>
        </w:rPr>
        <w:t>注</w:t>
      </w:r>
      <w:r>
        <w:rPr>
          <w:rFonts w:ascii="宋体" w:hAnsi="宋体" w:eastAsia="宋体" w:cs="宋体"/>
          <w:b/>
          <w:bCs/>
          <w:color w:val="auto"/>
          <w:spacing w:val="4"/>
          <w:sz w:val="22"/>
          <w:szCs w:val="22"/>
          <w:highlight w:val="none"/>
        </w:rPr>
        <w:t>：</w:t>
      </w:r>
      <w:r>
        <w:rPr>
          <w:rFonts w:hint="eastAsia" w:ascii="宋体" w:hAnsi="宋体" w:eastAsia="宋体" w:cs="宋体"/>
          <w:b/>
          <w:bCs/>
          <w:color w:val="auto"/>
          <w:spacing w:val="4"/>
          <w:sz w:val="22"/>
          <w:szCs w:val="22"/>
          <w:highlight w:val="none"/>
          <w:lang w:val="en-US" w:eastAsia="zh-CN"/>
        </w:rPr>
        <w:t>一个表格填写1份业绩，表格后附</w:t>
      </w:r>
      <w:r>
        <w:rPr>
          <w:rFonts w:ascii="宋体" w:hAnsi="宋体" w:eastAsia="宋体" w:cs="宋体"/>
          <w:b/>
          <w:bCs/>
          <w:color w:val="auto"/>
          <w:spacing w:val="4"/>
          <w:sz w:val="22"/>
          <w:szCs w:val="22"/>
          <w:highlight w:val="none"/>
        </w:rPr>
        <w:t>合同协议书或中标通知书</w:t>
      </w:r>
      <w:r>
        <w:rPr>
          <w:rFonts w:hint="eastAsia" w:ascii="宋体" w:hAnsi="宋体" w:cs="宋体"/>
          <w:b/>
          <w:bCs/>
          <w:color w:val="auto"/>
          <w:spacing w:val="4"/>
          <w:sz w:val="22"/>
          <w:szCs w:val="22"/>
          <w:highlight w:val="none"/>
          <w:lang w:eastAsia="zh-CN"/>
        </w:rPr>
        <w:t>的原件</w:t>
      </w:r>
      <w:r>
        <w:rPr>
          <w:rFonts w:hint="eastAsia" w:ascii="宋体" w:hAnsi="宋体" w:cs="宋体"/>
          <w:b/>
          <w:bCs/>
          <w:color w:val="auto"/>
          <w:spacing w:val="4"/>
          <w:sz w:val="22"/>
          <w:szCs w:val="22"/>
          <w:highlight w:val="none"/>
          <w:lang w:val="en-US" w:eastAsia="zh-CN"/>
        </w:rPr>
        <w:t>扫描件</w:t>
      </w:r>
      <w:r>
        <w:rPr>
          <w:rFonts w:ascii="宋体" w:hAnsi="宋体" w:eastAsia="宋体" w:cs="宋体"/>
          <w:b/>
          <w:bCs/>
          <w:color w:val="auto"/>
          <w:spacing w:val="4"/>
          <w:sz w:val="22"/>
          <w:szCs w:val="22"/>
          <w:highlight w:val="none"/>
        </w:rPr>
        <w:t>。</w:t>
      </w:r>
    </w:p>
    <w:p w14:paraId="3AB7E81A">
      <w:pPr>
        <w:adjustRightInd w:val="0"/>
        <w:snapToGrid w:val="0"/>
        <w:spacing w:line="500" w:lineRule="exact"/>
        <w:jc w:val="center"/>
        <w:rPr>
          <w:rFonts w:ascii="宋体" w:hAnsi="宋体" w:cs="宋体"/>
          <w:b/>
          <w:color w:val="auto"/>
          <w:sz w:val="24"/>
          <w:highlight w:val="none"/>
        </w:rPr>
      </w:pPr>
    </w:p>
    <w:p w14:paraId="555D51CD">
      <w:pPr>
        <w:adjustRightInd w:val="0"/>
        <w:snapToGrid w:val="0"/>
        <w:spacing w:line="500" w:lineRule="exact"/>
        <w:jc w:val="center"/>
        <w:rPr>
          <w:rFonts w:hint="eastAsia" w:ascii="宋体" w:hAnsi="宋体" w:cs="宋体"/>
          <w:b/>
          <w:color w:val="auto"/>
          <w:sz w:val="24"/>
          <w:highlight w:val="none"/>
        </w:rPr>
      </w:pPr>
    </w:p>
    <w:p w14:paraId="741C195B">
      <w:pPr>
        <w:autoSpaceDE w:val="0"/>
        <w:autoSpaceDN w:val="0"/>
        <w:adjustRightInd w:val="0"/>
        <w:snapToGrid w:val="0"/>
        <w:spacing w:line="360" w:lineRule="auto"/>
        <w:ind w:firstLine="720" w:firstLineChars="300"/>
        <w:jc w:val="right"/>
        <w:rPr>
          <w:rFonts w:ascii="宋体" w:hAnsi="宋体" w:cs="宋体"/>
          <w:color w:val="auto"/>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none"/>
        </w:rPr>
        <w:t>（盖</w:t>
      </w:r>
      <w:r>
        <w:rPr>
          <w:rFonts w:hint="eastAsia" w:ascii="宋体" w:hAnsi="宋体" w:cs="宋体"/>
          <w:color w:val="auto"/>
          <w:kern w:val="0"/>
          <w:sz w:val="24"/>
          <w:highlight w:val="none"/>
          <w:u w:val="none"/>
          <w:lang w:val="en-US" w:eastAsia="zh-CN"/>
        </w:rPr>
        <w:t>单位</w:t>
      </w:r>
      <w:r>
        <w:rPr>
          <w:rFonts w:hint="eastAsia" w:ascii="宋体" w:hAnsi="宋体" w:cs="宋体"/>
          <w:color w:val="auto"/>
          <w:kern w:val="0"/>
          <w:sz w:val="24"/>
          <w:highlight w:val="none"/>
          <w:u w:val="none"/>
        </w:rPr>
        <w:t>章）</w:t>
      </w:r>
      <w:r>
        <w:rPr>
          <w:rFonts w:hint="eastAsia" w:ascii="宋体" w:hAnsi="宋体" w:cs="宋体"/>
          <w:color w:val="auto"/>
          <w:kern w:val="0"/>
          <w:sz w:val="24"/>
          <w:highlight w:val="none"/>
          <w:u w:val="single"/>
        </w:rPr>
        <w:t xml:space="preserve">   </w:t>
      </w:r>
    </w:p>
    <w:p w14:paraId="659E1CCA">
      <w:pPr>
        <w:autoSpaceDE w:val="0"/>
        <w:autoSpaceDN w:val="0"/>
        <w:adjustRightInd w:val="0"/>
        <w:snapToGrid w:val="0"/>
        <w:spacing w:line="360" w:lineRule="auto"/>
        <w:jc w:val="right"/>
        <w:rPr>
          <w:rFonts w:ascii="宋体" w:hAnsi="宋体" w:cs="宋体"/>
          <w:color w:val="auto"/>
          <w:sz w:val="24"/>
          <w:highlight w:val="none"/>
        </w:rPr>
      </w:pPr>
      <w:r>
        <w:rPr>
          <w:rFonts w:hint="eastAsia" w:ascii="宋体" w:hAnsi="宋体" w:cs="宋体"/>
          <w:color w:val="auto"/>
          <w:sz w:val="24"/>
          <w:highlight w:val="none"/>
        </w:rPr>
        <w:t xml:space="preserve">      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066CEBF">
      <w:pPr>
        <w:adjustRightInd w:val="0"/>
        <w:snapToGrid w:val="0"/>
        <w:spacing w:line="360" w:lineRule="auto"/>
        <w:ind w:left="944" w:hanging="944" w:hangingChars="392"/>
        <w:rPr>
          <w:rFonts w:ascii="宋体" w:hAnsi="宋体" w:cs="宋体"/>
          <w:b/>
          <w:color w:val="auto"/>
          <w:sz w:val="24"/>
          <w:highlight w:val="none"/>
        </w:rPr>
      </w:pPr>
    </w:p>
    <w:p w14:paraId="3AA52AE9">
      <w:pPr>
        <w:adjustRightInd w:val="0"/>
        <w:snapToGrid w:val="0"/>
        <w:spacing w:line="360" w:lineRule="auto"/>
        <w:rPr>
          <w:rFonts w:ascii="宋体" w:hAnsi="宋体" w:cs="宋体"/>
          <w:b/>
          <w:color w:val="auto"/>
          <w:sz w:val="24"/>
          <w:highlight w:val="none"/>
        </w:rPr>
      </w:pPr>
    </w:p>
    <w:p w14:paraId="1C016BED">
      <w:pPr>
        <w:pStyle w:val="98"/>
        <w:ind w:left="0" w:leftChars="0" w:firstLine="0" w:firstLineChars="0"/>
        <w:rPr>
          <w:rFonts w:hint="eastAsia" w:ascii="宋体" w:hAnsi="宋体" w:eastAsia="宋体" w:cs="宋体"/>
          <w:color w:val="auto"/>
          <w:sz w:val="24"/>
          <w:szCs w:val="24"/>
          <w:highlight w:val="none"/>
        </w:rPr>
      </w:pPr>
    </w:p>
    <w:p w14:paraId="2D604969">
      <w:pPr>
        <w:pStyle w:val="4"/>
        <w:spacing w:before="0" w:after="0" w:line="360" w:lineRule="auto"/>
        <w:jc w:val="center"/>
        <w:outlineLvl w:val="1"/>
        <w:rPr>
          <w:rFonts w:hint="eastAsia" w:ascii="宋体" w:hAnsi="宋体" w:cs="宋体"/>
          <w:color w:val="auto"/>
          <w:sz w:val="32"/>
          <w:szCs w:val="28"/>
          <w:highlight w:val="none"/>
          <w:lang w:val="en-US" w:eastAsia="zh-CN"/>
        </w:rPr>
      </w:pPr>
      <w:r>
        <w:rPr>
          <w:rFonts w:hint="eastAsia" w:ascii="宋体" w:hAnsi="宋体" w:eastAsia="宋体" w:cs="宋体"/>
          <w:color w:val="auto"/>
          <w:sz w:val="28"/>
          <w:szCs w:val="36"/>
          <w:highlight w:val="none"/>
          <w:lang w:val="en-US" w:eastAsia="zh-CN"/>
        </w:rPr>
        <w:t xml:space="preserve"> </w:t>
      </w:r>
      <w:r>
        <w:rPr>
          <w:rFonts w:hint="eastAsia" w:ascii="宋体" w:hAnsi="宋体" w:cs="宋体"/>
          <w:color w:val="auto"/>
          <w:sz w:val="32"/>
          <w:szCs w:val="28"/>
          <w:highlight w:val="none"/>
          <w:lang w:val="en-US" w:eastAsia="zh-CN"/>
        </w:rPr>
        <w:t>七</w:t>
      </w:r>
      <w:r>
        <w:rPr>
          <w:rFonts w:hint="eastAsia" w:ascii="宋体" w:hAnsi="宋体" w:eastAsia="宋体" w:cs="宋体"/>
          <w:color w:val="auto"/>
          <w:sz w:val="32"/>
          <w:szCs w:val="28"/>
          <w:highlight w:val="none"/>
        </w:rPr>
        <w:t>、</w:t>
      </w:r>
      <w:r>
        <w:rPr>
          <w:rFonts w:hint="eastAsia" w:ascii="宋体" w:hAnsi="宋体" w:cs="宋体"/>
          <w:color w:val="auto"/>
          <w:sz w:val="32"/>
          <w:szCs w:val="28"/>
          <w:highlight w:val="none"/>
          <w:lang w:val="en-US" w:eastAsia="zh-CN"/>
        </w:rPr>
        <w:t>项目实施方案</w:t>
      </w:r>
    </w:p>
    <w:p w14:paraId="10D536B4">
      <w:pPr>
        <w:spacing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格式自拟，并清晰阐述。</w:t>
      </w:r>
    </w:p>
    <w:p w14:paraId="1A819888">
      <w:pPr>
        <w:spacing w:line="360" w:lineRule="auto"/>
        <w:rPr>
          <w:rFonts w:hint="eastAsia" w:ascii="宋体" w:hAnsi="宋体" w:eastAsia="宋体" w:cs="宋体"/>
          <w:color w:val="auto"/>
          <w:sz w:val="24"/>
          <w:highlight w:val="none"/>
        </w:rPr>
      </w:pPr>
    </w:p>
    <w:p w14:paraId="1A1A6930">
      <w:pPr>
        <w:spacing w:line="360" w:lineRule="auto"/>
        <w:rPr>
          <w:rFonts w:hint="eastAsia" w:ascii="宋体" w:hAnsi="宋体" w:eastAsia="宋体" w:cs="宋体"/>
          <w:color w:val="auto"/>
          <w:sz w:val="24"/>
          <w:highlight w:val="none"/>
        </w:rPr>
      </w:pPr>
    </w:p>
    <w:p w14:paraId="3C27DF31">
      <w:pPr>
        <w:pStyle w:val="12"/>
        <w:rPr>
          <w:rFonts w:hint="eastAsia" w:ascii="宋体" w:hAnsi="宋体" w:eastAsia="宋体" w:cs="宋体"/>
          <w:color w:val="auto"/>
          <w:sz w:val="24"/>
          <w:highlight w:val="none"/>
        </w:rPr>
      </w:pPr>
    </w:p>
    <w:p w14:paraId="0DC3B72E">
      <w:pPr>
        <w:pStyle w:val="13"/>
        <w:rPr>
          <w:rFonts w:hint="eastAsia" w:ascii="宋体" w:hAnsi="宋体" w:eastAsia="宋体" w:cs="宋体"/>
          <w:color w:val="auto"/>
          <w:sz w:val="24"/>
          <w:highlight w:val="none"/>
        </w:rPr>
      </w:pPr>
    </w:p>
    <w:p w14:paraId="538BC84C">
      <w:pPr>
        <w:rPr>
          <w:rFonts w:hint="eastAsia" w:ascii="宋体" w:hAnsi="宋体" w:eastAsia="宋体" w:cs="宋体"/>
          <w:color w:val="auto"/>
          <w:sz w:val="24"/>
          <w:highlight w:val="none"/>
        </w:rPr>
      </w:pPr>
    </w:p>
    <w:p w14:paraId="0F3A22F8">
      <w:pPr>
        <w:pStyle w:val="12"/>
        <w:rPr>
          <w:rFonts w:hint="eastAsia" w:ascii="宋体" w:hAnsi="宋体" w:eastAsia="宋体" w:cs="宋体"/>
          <w:color w:val="auto"/>
          <w:sz w:val="24"/>
          <w:highlight w:val="none"/>
        </w:rPr>
      </w:pPr>
    </w:p>
    <w:p w14:paraId="388E46E4">
      <w:pPr>
        <w:pStyle w:val="13"/>
        <w:rPr>
          <w:rFonts w:hint="eastAsia" w:ascii="宋体" w:hAnsi="宋体" w:eastAsia="宋体" w:cs="宋体"/>
          <w:color w:val="auto"/>
          <w:sz w:val="24"/>
          <w:highlight w:val="none"/>
        </w:rPr>
      </w:pPr>
    </w:p>
    <w:p w14:paraId="3EE6D8F9">
      <w:pPr>
        <w:rPr>
          <w:rFonts w:hint="eastAsia" w:ascii="宋体" w:hAnsi="宋体" w:eastAsia="宋体" w:cs="宋体"/>
          <w:color w:val="auto"/>
          <w:sz w:val="24"/>
          <w:highlight w:val="none"/>
        </w:rPr>
      </w:pPr>
    </w:p>
    <w:p w14:paraId="7420EEB0">
      <w:pPr>
        <w:pStyle w:val="12"/>
        <w:rPr>
          <w:rFonts w:hint="eastAsia" w:ascii="宋体" w:hAnsi="宋体" w:eastAsia="宋体" w:cs="宋体"/>
          <w:color w:val="auto"/>
          <w:sz w:val="24"/>
          <w:highlight w:val="none"/>
        </w:rPr>
      </w:pPr>
    </w:p>
    <w:p w14:paraId="61A4FCA9">
      <w:pPr>
        <w:pStyle w:val="13"/>
        <w:rPr>
          <w:rFonts w:hint="eastAsia" w:ascii="宋体" w:hAnsi="宋体" w:eastAsia="宋体" w:cs="宋体"/>
          <w:color w:val="auto"/>
          <w:sz w:val="24"/>
          <w:highlight w:val="none"/>
        </w:rPr>
      </w:pPr>
    </w:p>
    <w:p w14:paraId="56A04736">
      <w:pPr>
        <w:rPr>
          <w:rFonts w:hint="eastAsia" w:ascii="宋体" w:hAnsi="宋体" w:eastAsia="宋体" w:cs="宋体"/>
          <w:color w:val="auto"/>
          <w:sz w:val="24"/>
          <w:highlight w:val="none"/>
        </w:rPr>
      </w:pPr>
    </w:p>
    <w:p w14:paraId="2596017F">
      <w:pPr>
        <w:pStyle w:val="12"/>
        <w:rPr>
          <w:rFonts w:hint="eastAsia" w:ascii="宋体" w:hAnsi="宋体" w:eastAsia="宋体" w:cs="宋体"/>
          <w:color w:val="auto"/>
          <w:sz w:val="24"/>
          <w:highlight w:val="none"/>
        </w:rPr>
      </w:pPr>
    </w:p>
    <w:p w14:paraId="3054019C">
      <w:pPr>
        <w:pStyle w:val="13"/>
        <w:rPr>
          <w:rFonts w:hint="eastAsia" w:ascii="宋体" w:hAnsi="宋体" w:eastAsia="宋体" w:cs="宋体"/>
          <w:color w:val="auto"/>
          <w:sz w:val="24"/>
          <w:highlight w:val="none"/>
        </w:rPr>
      </w:pPr>
    </w:p>
    <w:p w14:paraId="73A71D77">
      <w:pPr>
        <w:rPr>
          <w:rFonts w:hint="eastAsia" w:ascii="宋体" w:hAnsi="宋体" w:eastAsia="宋体" w:cs="宋体"/>
          <w:color w:val="auto"/>
          <w:sz w:val="24"/>
          <w:highlight w:val="none"/>
        </w:rPr>
      </w:pPr>
    </w:p>
    <w:p w14:paraId="51FDD8E3">
      <w:pPr>
        <w:pStyle w:val="12"/>
        <w:rPr>
          <w:rFonts w:hint="eastAsia" w:ascii="宋体" w:hAnsi="宋体" w:eastAsia="宋体" w:cs="宋体"/>
          <w:color w:val="auto"/>
          <w:sz w:val="24"/>
          <w:highlight w:val="none"/>
        </w:rPr>
      </w:pPr>
    </w:p>
    <w:p w14:paraId="03A85E50">
      <w:pPr>
        <w:pStyle w:val="13"/>
        <w:rPr>
          <w:rFonts w:hint="eastAsia" w:ascii="宋体" w:hAnsi="宋体" w:eastAsia="宋体" w:cs="宋体"/>
          <w:color w:val="auto"/>
          <w:sz w:val="24"/>
          <w:highlight w:val="none"/>
        </w:rPr>
      </w:pPr>
    </w:p>
    <w:p w14:paraId="547F7106">
      <w:pPr>
        <w:rPr>
          <w:rFonts w:hint="eastAsia" w:ascii="宋体" w:hAnsi="宋体" w:eastAsia="宋体" w:cs="宋体"/>
          <w:color w:val="auto"/>
          <w:sz w:val="24"/>
          <w:highlight w:val="none"/>
        </w:rPr>
      </w:pPr>
    </w:p>
    <w:p w14:paraId="35E79B7E">
      <w:pPr>
        <w:pStyle w:val="12"/>
        <w:rPr>
          <w:rFonts w:hint="eastAsia" w:ascii="宋体" w:hAnsi="宋体" w:eastAsia="宋体" w:cs="宋体"/>
          <w:color w:val="auto"/>
          <w:sz w:val="24"/>
          <w:highlight w:val="none"/>
        </w:rPr>
      </w:pPr>
    </w:p>
    <w:p w14:paraId="42208153">
      <w:pPr>
        <w:pStyle w:val="13"/>
        <w:rPr>
          <w:rFonts w:hint="eastAsia" w:ascii="宋体" w:hAnsi="宋体" w:eastAsia="宋体" w:cs="宋体"/>
          <w:color w:val="auto"/>
          <w:sz w:val="24"/>
          <w:highlight w:val="none"/>
        </w:rPr>
      </w:pPr>
    </w:p>
    <w:p w14:paraId="103035B4">
      <w:pPr>
        <w:rPr>
          <w:rFonts w:hint="eastAsia" w:ascii="宋体" w:hAnsi="宋体" w:eastAsia="宋体" w:cs="宋体"/>
          <w:color w:val="auto"/>
          <w:sz w:val="24"/>
          <w:highlight w:val="none"/>
        </w:rPr>
      </w:pPr>
    </w:p>
    <w:p w14:paraId="6C867D92">
      <w:pPr>
        <w:pStyle w:val="12"/>
        <w:rPr>
          <w:rFonts w:hint="eastAsia" w:ascii="宋体" w:hAnsi="宋体" w:eastAsia="宋体" w:cs="宋体"/>
          <w:color w:val="auto"/>
          <w:sz w:val="24"/>
          <w:highlight w:val="none"/>
        </w:rPr>
      </w:pPr>
    </w:p>
    <w:p w14:paraId="4B325ED9">
      <w:pPr>
        <w:pStyle w:val="13"/>
        <w:rPr>
          <w:rFonts w:hint="eastAsia" w:ascii="宋体" w:hAnsi="宋体" w:eastAsia="宋体" w:cs="宋体"/>
          <w:color w:val="auto"/>
          <w:sz w:val="24"/>
          <w:highlight w:val="none"/>
        </w:rPr>
      </w:pPr>
    </w:p>
    <w:p w14:paraId="3739369A">
      <w:pPr>
        <w:rPr>
          <w:rFonts w:hint="eastAsia" w:ascii="宋体" w:hAnsi="宋体" w:eastAsia="宋体" w:cs="宋体"/>
          <w:color w:val="auto"/>
          <w:sz w:val="24"/>
          <w:highlight w:val="none"/>
        </w:rPr>
      </w:pPr>
    </w:p>
    <w:p w14:paraId="29FA7D6E">
      <w:pPr>
        <w:pStyle w:val="12"/>
        <w:rPr>
          <w:rFonts w:hint="eastAsia" w:ascii="宋体" w:hAnsi="宋体" w:eastAsia="宋体" w:cs="宋体"/>
          <w:color w:val="auto"/>
          <w:sz w:val="24"/>
          <w:highlight w:val="none"/>
        </w:rPr>
      </w:pPr>
    </w:p>
    <w:p w14:paraId="50EB0C18">
      <w:pPr>
        <w:pStyle w:val="13"/>
        <w:rPr>
          <w:rFonts w:hint="eastAsia" w:ascii="宋体" w:hAnsi="宋体" w:eastAsia="宋体" w:cs="宋体"/>
          <w:color w:val="auto"/>
          <w:sz w:val="24"/>
          <w:highlight w:val="none"/>
        </w:rPr>
      </w:pPr>
    </w:p>
    <w:p w14:paraId="374793D7">
      <w:pPr>
        <w:rPr>
          <w:rFonts w:hint="eastAsia" w:ascii="宋体" w:hAnsi="宋体" w:eastAsia="宋体" w:cs="宋体"/>
          <w:color w:val="auto"/>
          <w:sz w:val="24"/>
          <w:highlight w:val="none"/>
        </w:rPr>
      </w:pPr>
    </w:p>
    <w:p w14:paraId="49D68C52">
      <w:pPr>
        <w:pStyle w:val="12"/>
        <w:rPr>
          <w:rFonts w:hint="eastAsia" w:ascii="宋体" w:hAnsi="宋体" w:eastAsia="宋体" w:cs="宋体"/>
          <w:color w:val="auto"/>
          <w:sz w:val="24"/>
          <w:highlight w:val="none"/>
        </w:rPr>
      </w:pPr>
    </w:p>
    <w:p w14:paraId="236F8F09">
      <w:pPr>
        <w:pStyle w:val="13"/>
        <w:rPr>
          <w:rFonts w:hint="eastAsia" w:ascii="宋体" w:hAnsi="宋体" w:eastAsia="宋体" w:cs="宋体"/>
          <w:color w:val="auto"/>
          <w:sz w:val="24"/>
          <w:highlight w:val="none"/>
        </w:rPr>
      </w:pPr>
    </w:p>
    <w:p w14:paraId="53E36810">
      <w:pPr>
        <w:rPr>
          <w:rFonts w:hint="eastAsia" w:ascii="宋体" w:hAnsi="宋体" w:eastAsia="宋体" w:cs="宋体"/>
          <w:color w:val="auto"/>
          <w:sz w:val="24"/>
          <w:highlight w:val="none"/>
        </w:rPr>
      </w:pPr>
    </w:p>
    <w:p w14:paraId="49C113DA">
      <w:pPr>
        <w:pStyle w:val="12"/>
        <w:rPr>
          <w:rFonts w:hint="eastAsia" w:ascii="宋体" w:hAnsi="宋体" w:eastAsia="宋体" w:cs="宋体"/>
          <w:color w:val="auto"/>
          <w:sz w:val="24"/>
          <w:highlight w:val="none"/>
        </w:rPr>
      </w:pPr>
    </w:p>
    <w:p w14:paraId="3A9899B8">
      <w:pPr>
        <w:pStyle w:val="13"/>
        <w:rPr>
          <w:rFonts w:hint="eastAsia" w:ascii="宋体" w:hAnsi="宋体" w:eastAsia="宋体" w:cs="宋体"/>
          <w:color w:val="auto"/>
          <w:sz w:val="24"/>
          <w:highlight w:val="none"/>
        </w:rPr>
      </w:pPr>
    </w:p>
    <w:p w14:paraId="20E2E0E8">
      <w:pPr>
        <w:rPr>
          <w:rFonts w:hint="eastAsia"/>
          <w:color w:val="auto"/>
          <w:highlight w:val="none"/>
        </w:rPr>
      </w:pPr>
    </w:p>
    <w:p w14:paraId="41E3114C">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r>
        <w:rPr>
          <w:rFonts w:hint="eastAsia" w:ascii="宋体" w:hAnsi="宋体" w:eastAsia="宋体" w:cs="宋体"/>
          <w:color w:val="auto"/>
          <w:sz w:val="28"/>
          <w:szCs w:val="36"/>
          <w:highlight w:val="none"/>
          <w:lang w:val="en-US" w:eastAsia="zh-CN"/>
        </w:rPr>
        <w:t xml:space="preserve"> </w:t>
      </w:r>
      <w:r>
        <w:rPr>
          <w:rFonts w:hint="eastAsia" w:ascii="宋体" w:hAnsi="宋体" w:cs="宋体"/>
          <w:color w:val="auto"/>
          <w:sz w:val="32"/>
          <w:szCs w:val="28"/>
          <w:highlight w:val="none"/>
          <w:lang w:val="en-US" w:eastAsia="zh-CN"/>
        </w:rPr>
        <w:t>八</w:t>
      </w:r>
      <w:r>
        <w:rPr>
          <w:rFonts w:hint="eastAsia" w:ascii="宋体" w:hAnsi="宋体" w:eastAsia="宋体" w:cs="宋体"/>
          <w:color w:val="auto"/>
          <w:sz w:val="32"/>
          <w:szCs w:val="28"/>
          <w:highlight w:val="none"/>
        </w:rPr>
        <w:t>、质量保障</w:t>
      </w:r>
      <w:r>
        <w:rPr>
          <w:rFonts w:hint="eastAsia" w:ascii="宋体" w:hAnsi="宋体" w:eastAsia="宋体" w:cs="宋体"/>
          <w:color w:val="auto"/>
          <w:sz w:val="32"/>
          <w:szCs w:val="28"/>
          <w:highlight w:val="none"/>
          <w:lang w:eastAsia="zh-CN"/>
        </w:rPr>
        <w:t>及安全维护</w:t>
      </w:r>
      <w:r>
        <w:rPr>
          <w:rFonts w:hint="eastAsia" w:ascii="宋体" w:hAnsi="宋体" w:eastAsia="宋体" w:cs="宋体"/>
          <w:color w:val="auto"/>
          <w:sz w:val="32"/>
          <w:szCs w:val="28"/>
          <w:highlight w:val="none"/>
        </w:rPr>
        <w:t>措施</w:t>
      </w:r>
    </w:p>
    <w:p w14:paraId="5BA6E7D2">
      <w:pPr>
        <w:spacing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格式自拟，并清晰阐述。</w:t>
      </w:r>
    </w:p>
    <w:p w14:paraId="5FE3CAF0">
      <w:pPr>
        <w:spacing w:line="360" w:lineRule="auto"/>
        <w:rPr>
          <w:rFonts w:hint="eastAsia" w:ascii="宋体" w:hAnsi="宋体" w:eastAsia="宋体" w:cs="宋体"/>
          <w:color w:val="auto"/>
          <w:sz w:val="24"/>
          <w:highlight w:val="none"/>
        </w:rPr>
      </w:pPr>
    </w:p>
    <w:p w14:paraId="2F0A2253">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77D07A06">
      <w:pPr>
        <w:rPr>
          <w:rFonts w:hint="eastAsia" w:ascii="宋体" w:hAnsi="宋体" w:eastAsia="宋体" w:cs="宋体"/>
          <w:color w:val="auto"/>
          <w:sz w:val="32"/>
          <w:szCs w:val="28"/>
          <w:highlight w:val="none"/>
          <w:lang w:eastAsia="zh-CN"/>
        </w:rPr>
      </w:pPr>
    </w:p>
    <w:p w14:paraId="6777D46C">
      <w:pPr>
        <w:pStyle w:val="12"/>
        <w:rPr>
          <w:rFonts w:hint="eastAsia" w:ascii="宋体" w:hAnsi="宋体" w:eastAsia="宋体" w:cs="宋体"/>
          <w:color w:val="auto"/>
          <w:sz w:val="32"/>
          <w:szCs w:val="28"/>
          <w:highlight w:val="none"/>
          <w:lang w:eastAsia="zh-CN"/>
        </w:rPr>
      </w:pPr>
    </w:p>
    <w:p w14:paraId="06494384">
      <w:pPr>
        <w:pStyle w:val="13"/>
        <w:rPr>
          <w:rFonts w:hint="eastAsia" w:ascii="宋体" w:hAnsi="宋体" w:eastAsia="宋体" w:cs="宋体"/>
          <w:color w:val="auto"/>
          <w:sz w:val="32"/>
          <w:szCs w:val="28"/>
          <w:highlight w:val="none"/>
          <w:lang w:eastAsia="zh-CN"/>
        </w:rPr>
      </w:pPr>
    </w:p>
    <w:p w14:paraId="7B8A2171">
      <w:pPr>
        <w:rPr>
          <w:rFonts w:hint="eastAsia" w:ascii="宋体" w:hAnsi="宋体" w:eastAsia="宋体" w:cs="宋体"/>
          <w:color w:val="auto"/>
          <w:sz w:val="32"/>
          <w:szCs w:val="28"/>
          <w:highlight w:val="none"/>
          <w:lang w:eastAsia="zh-CN"/>
        </w:rPr>
      </w:pPr>
    </w:p>
    <w:p w14:paraId="7888B903">
      <w:pPr>
        <w:pStyle w:val="12"/>
        <w:rPr>
          <w:rFonts w:hint="eastAsia" w:ascii="宋体" w:hAnsi="宋体" w:eastAsia="宋体" w:cs="宋体"/>
          <w:color w:val="auto"/>
          <w:sz w:val="32"/>
          <w:szCs w:val="28"/>
          <w:highlight w:val="none"/>
          <w:lang w:eastAsia="zh-CN"/>
        </w:rPr>
      </w:pPr>
    </w:p>
    <w:p w14:paraId="13F402EC">
      <w:pPr>
        <w:pStyle w:val="13"/>
        <w:rPr>
          <w:rFonts w:hint="eastAsia" w:ascii="宋体" w:hAnsi="宋体" w:eastAsia="宋体" w:cs="宋体"/>
          <w:color w:val="auto"/>
          <w:sz w:val="32"/>
          <w:szCs w:val="28"/>
          <w:highlight w:val="none"/>
          <w:lang w:eastAsia="zh-CN"/>
        </w:rPr>
      </w:pPr>
    </w:p>
    <w:p w14:paraId="63CD4245">
      <w:pPr>
        <w:rPr>
          <w:rFonts w:hint="eastAsia" w:ascii="宋体" w:hAnsi="宋体" w:eastAsia="宋体" w:cs="宋体"/>
          <w:color w:val="auto"/>
          <w:sz w:val="32"/>
          <w:szCs w:val="28"/>
          <w:highlight w:val="none"/>
          <w:lang w:eastAsia="zh-CN"/>
        </w:rPr>
      </w:pPr>
    </w:p>
    <w:p w14:paraId="52AF4C16">
      <w:pPr>
        <w:pStyle w:val="12"/>
        <w:rPr>
          <w:rFonts w:hint="eastAsia" w:ascii="宋体" w:hAnsi="宋体" w:eastAsia="宋体" w:cs="宋体"/>
          <w:color w:val="auto"/>
          <w:sz w:val="32"/>
          <w:szCs w:val="28"/>
          <w:highlight w:val="none"/>
          <w:lang w:eastAsia="zh-CN"/>
        </w:rPr>
      </w:pPr>
    </w:p>
    <w:p w14:paraId="0FBD09D2">
      <w:pPr>
        <w:pStyle w:val="13"/>
        <w:rPr>
          <w:rFonts w:hint="eastAsia" w:ascii="宋体" w:hAnsi="宋体" w:eastAsia="宋体" w:cs="宋体"/>
          <w:color w:val="auto"/>
          <w:sz w:val="32"/>
          <w:szCs w:val="28"/>
          <w:highlight w:val="none"/>
          <w:lang w:eastAsia="zh-CN"/>
        </w:rPr>
      </w:pPr>
    </w:p>
    <w:p w14:paraId="03F3A2BC">
      <w:pPr>
        <w:rPr>
          <w:rFonts w:hint="eastAsia" w:ascii="宋体" w:hAnsi="宋体" w:eastAsia="宋体" w:cs="宋体"/>
          <w:color w:val="auto"/>
          <w:sz w:val="32"/>
          <w:szCs w:val="28"/>
          <w:highlight w:val="none"/>
          <w:lang w:eastAsia="zh-CN"/>
        </w:rPr>
      </w:pPr>
    </w:p>
    <w:p w14:paraId="708F9CF1">
      <w:pPr>
        <w:pStyle w:val="12"/>
        <w:rPr>
          <w:rFonts w:hint="eastAsia" w:ascii="宋体" w:hAnsi="宋体" w:eastAsia="宋体" w:cs="宋体"/>
          <w:color w:val="auto"/>
          <w:sz w:val="32"/>
          <w:szCs w:val="28"/>
          <w:highlight w:val="none"/>
          <w:lang w:eastAsia="zh-CN"/>
        </w:rPr>
      </w:pPr>
    </w:p>
    <w:p w14:paraId="68018AEE">
      <w:pPr>
        <w:pStyle w:val="13"/>
        <w:rPr>
          <w:rFonts w:hint="eastAsia" w:ascii="宋体" w:hAnsi="宋体" w:eastAsia="宋体" w:cs="宋体"/>
          <w:color w:val="auto"/>
          <w:sz w:val="32"/>
          <w:szCs w:val="28"/>
          <w:highlight w:val="none"/>
          <w:lang w:eastAsia="zh-CN"/>
        </w:rPr>
      </w:pPr>
    </w:p>
    <w:p w14:paraId="11014C4F">
      <w:pPr>
        <w:rPr>
          <w:rFonts w:hint="eastAsia" w:ascii="宋体" w:hAnsi="宋体" w:eastAsia="宋体" w:cs="宋体"/>
          <w:color w:val="auto"/>
          <w:sz w:val="32"/>
          <w:szCs w:val="28"/>
          <w:highlight w:val="none"/>
          <w:lang w:eastAsia="zh-CN"/>
        </w:rPr>
      </w:pPr>
    </w:p>
    <w:p w14:paraId="0C462B19">
      <w:pPr>
        <w:pStyle w:val="12"/>
        <w:rPr>
          <w:rFonts w:hint="eastAsia" w:ascii="宋体" w:hAnsi="宋体" w:eastAsia="宋体" w:cs="宋体"/>
          <w:color w:val="auto"/>
          <w:sz w:val="32"/>
          <w:szCs w:val="28"/>
          <w:highlight w:val="none"/>
          <w:lang w:eastAsia="zh-CN"/>
        </w:rPr>
      </w:pPr>
    </w:p>
    <w:p w14:paraId="28274C6A">
      <w:pPr>
        <w:pStyle w:val="13"/>
        <w:rPr>
          <w:rFonts w:hint="eastAsia" w:ascii="宋体" w:hAnsi="宋体" w:eastAsia="宋体" w:cs="宋体"/>
          <w:color w:val="auto"/>
          <w:sz w:val="32"/>
          <w:szCs w:val="28"/>
          <w:highlight w:val="none"/>
          <w:lang w:eastAsia="zh-CN"/>
        </w:rPr>
      </w:pPr>
    </w:p>
    <w:p w14:paraId="1BA02B69">
      <w:pPr>
        <w:rPr>
          <w:rFonts w:hint="eastAsia"/>
          <w:color w:val="auto"/>
          <w:highlight w:val="none"/>
          <w:lang w:eastAsia="zh-CN"/>
        </w:rPr>
      </w:pPr>
    </w:p>
    <w:p w14:paraId="4F98CD89">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35B21939">
      <w:pPr>
        <w:spacing w:line="360" w:lineRule="auto"/>
        <w:jc w:val="center"/>
        <w:rPr>
          <w:rFonts w:hint="eastAsia" w:ascii="宋体" w:hAnsi="宋体" w:eastAsia="宋体" w:cs="宋体"/>
          <w:color w:val="auto"/>
          <w:sz w:val="28"/>
          <w:highlight w:val="none"/>
        </w:rPr>
      </w:pPr>
    </w:p>
    <w:p w14:paraId="37ACBC14">
      <w:pPr>
        <w:pStyle w:val="12"/>
        <w:rPr>
          <w:rFonts w:hint="eastAsia" w:ascii="宋体" w:hAnsi="宋体" w:eastAsia="宋体" w:cs="宋体"/>
          <w:color w:val="auto"/>
          <w:sz w:val="28"/>
          <w:highlight w:val="none"/>
        </w:rPr>
      </w:pPr>
    </w:p>
    <w:p w14:paraId="7A85BF73">
      <w:pPr>
        <w:pStyle w:val="4"/>
        <w:spacing w:before="0" w:after="0" w:line="360" w:lineRule="auto"/>
        <w:jc w:val="center"/>
        <w:outlineLvl w:val="1"/>
        <w:rPr>
          <w:rFonts w:hint="eastAsia" w:ascii="宋体" w:hAnsi="宋体" w:cs="宋体"/>
          <w:color w:val="auto"/>
          <w:sz w:val="32"/>
          <w:szCs w:val="28"/>
          <w:highlight w:val="none"/>
          <w:lang w:val="en-US" w:eastAsia="zh-CN"/>
        </w:rPr>
      </w:pPr>
      <w:r>
        <w:rPr>
          <w:rFonts w:hint="eastAsia" w:ascii="宋体" w:hAnsi="宋体" w:eastAsia="宋体" w:cs="宋体"/>
          <w:color w:val="auto"/>
          <w:sz w:val="32"/>
          <w:szCs w:val="28"/>
          <w:highlight w:val="none"/>
          <w:lang w:eastAsia="zh-CN"/>
        </w:rPr>
        <w:t>九</w:t>
      </w:r>
      <w:r>
        <w:rPr>
          <w:rFonts w:hint="eastAsia" w:ascii="宋体" w:hAnsi="宋体" w:eastAsia="宋体" w:cs="宋体"/>
          <w:color w:val="auto"/>
          <w:sz w:val="32"/>
          <w:szCs w:val="28"/>
          <w:highlight w:val="none"/>
        </w:rPr>
        <w:t>、应急处理方</w:t>
      </w:r>
      <w:r>
        <w:rPr>
          <w:rFonts w:hint="eastAsia" w:ascii="宋体" w:hAnsi="宋体" w:cs="宋体"/>
          <w:color w:val="auto"/>
          <w:sz w:val="32"/>
          <w:szCs w:val="28"/>
          <w:highlight w:val="none"/>
          <w:lang w:val="en-US" w:eastAsia="zh-CN"/>
        </w:rPr>
        <w:t>案</w:t>
      </w:r>
    </w:p>
    <w:p w14:paraId="4AA084FC">
      <w:pPr>
        <w:pStyle w:val="13"/>
        <w:jc w:val="center"/>
        <w:rPr>
          <w:rFonts w:hint="eastAsia"/>
          <w:color w:val="auto"/>
          <w:highlight w:val="none"/>
        </w:rPr>
      </w:pPr>
      <w:r>
        <w:rPr>
          <w:rFonts w:hint="eastAsia" w:ascii="宋体" w:hAnsi="宋体" w:eastAsia="宋体" w:cs="宋体"/>
          <w:color w:val="auto"/>
          <w:sz w:val="28"/>
          <w:highlight w:val="none"/>
        </w:rPr>
        <w:t>格式自拟，并清晰阐述。</w:t>
      </w:r>
    </w:p>
    <w:p w14:paraId="6CBD1FAE">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21FC62B6">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0264D407">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226D3F3E">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02CC7CD5">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1656DB99">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5ACF50BB">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34D26CD8">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250CFF1B">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3E790939">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0DD81C15">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7C455BED">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2AF0595E">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71AB47EB">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337338B7">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1EFB8953">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36C5401E">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782F4DEF">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295600F9">
      <w:pPr>
        <w:rPr>
          <w:rFonts w:hint="eastAsia" w:ascii="宋体" w:hAnsi="宋体" w:eastAsia="宋体" w:cs="宋体"/>
          <w:color w:val="auto"/>
          <w:sz w:val="32"/>
          <w:szCs w:val="28"/>
          <w:highlight w:val="none"/>
          <w:lang w:eastAsia="zh-CN"/>
        </w:rPr>
      </w:pPr>
    </w:p>
    <w:p w14:paraId="2EAEEF12">
      <w:pPr>
        <w:pStyle w:val="12"/>
        <w:rPr>
          <w:rFonts w:hint="eastAsia"/>
          <w:color w:val="auto"/>
          <w:highlight w:val="none"/>
          <w:lang w:eastAsia="zh-CN"/>
        </w:rPr>
      </w:pPr>
    </w:p>
    <w:p w14:paraId="304DC453">
      <w:pPr>
        <w:pStyle w:val="4"/>
        <w:spacing w:before="0" w:after="0" w:line="360" w:lineRule="auto"/>
        <w:jc w:val="center"/>
        <w:outlineLvl w:val="1"/>
        <w:rPr>
          <w:rFonts w:hint="eastAsia" w:ascii="宋体" w:hAnsi="宋体" w:cs="宋体"/>
          <w:color w:val="auto"/>
          <w:sz w:val="32"/>
          <w:szCs w:val="28"/>
          <w:highlight w:val="none"/>
          <w:lang w:val="en-US" w:eastAsia="zh-CN"/>
        </w:rPr>
      </w:pPr>
      <w:r>
        <w:rPr>
          <w:rFonts w:hint="eastAsia" w:ascii="宋体" w:hAnsi="宋体" w:cs="宋体"/>
          <w:color w:val="auto"/>
          <w:sz w:val="32"/>
          <w:szCs w:val="28"/>
          <w:highlight w:val="none"/>
          <w:lang w:val="en-US" w:eastAsia="zh-CN"/>
        </w:rPr>
        <w:t>十</w:t>
      </w:r>
      <w:r>
        <w:rPr>
          <w:rFonts w:hint="eastAsia" w:ascii="宋体" w:hAnsi="宋体" w:eastAsia="宋体" w:cs="宋体"/>
          <w:color w:val="auto"/>
          <w:sz w:val="32"/>
          <w:szCs w:val="28"/>
          <w:highlight w:val="none"/>
        </w:rPr>
        <w:t>、网络安全方</w:t>
      </w:r>
      <w:r>
        <w:rPr>
          <w:rFonts w:hint="eastAsia" w:ascii="宋体" w:hAnsi="宋体" w:cs="宋体"/>
          <w:color w:val="auto"/>
          <w:sz w:val="32"/>
          <w:szCs w:val="28"/>
          <w:highlight w:val="none"/>
          <w:lang w:val="en-US" w:eastAsia="zh-CN"/>
        </w:rPr>
        <w:t>案</w:t>
      </w:r>
    </w:p>
    <w:p w14:paraId="5D13CF7C">
      <w:pPr>
        <w:spacing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格式自拟，并清晰阐述。</w:t>
      </w:r>
    </w:p>
    <w:p w14:paraId="63373297">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10223802">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69C9464F">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3C84A01A">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0D3E8751">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0E3ABCEA">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0B24FBBF">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5E139D5F">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63EF98A6">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09F4344C">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02800F89">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6493E4DF">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321E43FD">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55494130">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531FE18B">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793F50DE">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447601E0">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44310463">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12E37D65">
      <w:pPr>
        <w:spacing w:line="360" w:lineRule="auto"/>
        <w:jc w:val="center"/>
        <w:rPr>
          <w:rFonts w:hint="eastAsia" w:ascii="宋体" w:hAnsi="宋体" w:eastAsia="宋体" w:cs="宋体"/>
          <w:color w:val="auto"/>
          <w:sz w:val="28"/>
          <w:highlight w:val="none"/>
        </w:rPr>
      </w:pPr>
    </w:p>
    <w:p w14:paraId="0742C6E0">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r>
        <w:rPr>
          <w:rFonts w:hint="eastAsia" w:ascii="宋体" w:hAnsi="宋体" w:eastAsia="宋体" w:cs="宋体"/>
          <w:color w:val="auto"/>
          <w:sz w:val="32"/>
          <w:szCs w:val="28"/>
          <w:highlight w:val="none"/>
          <w:lang w:val="en-US" w:eastAsia="zh-CN"/>
        </w:rPr>
        <w:t>十一</w:t>
      </w:r>
      <w:r>
        <w:rPr>
          <w:rFonts w:hint="eastAsia" w:ascii="宋体" w:hAnsi="宋体" w:eastAsia="宋体" w:cs="宋体"/>
          <w:color w:val="auto"/>
          <w:sz w:val="32"/>
          <w:szCs w:val="28"/>
          <w:highlight w:val="none"/>
        </w:rPr>
        <w:t>、培训</w:t>
      </w:r>
      <w:r>
        <w:rPr>
          <w:rFonts w:hint="eastAsia" w:ascii="宋体" w:hAnsi="宋体" w:eastAsia="宋体" w:cs="宋体"/>
          <w:color w:val="auto"/>
          <w:sz w:val="32"/>
          <w:szCs w:val="28"/>
          <w:highlight w:val="none"/>
          <w:lang w:val="en-US" w:eastAsia="zh-CN"/>
        </w:rPr>
        <w:t>指导</w:t>
      </w:r>
      <w:r>
        <w:rPr>
          <w:rFonts w:hint="eastAsia" w:ascii="宋体" w:hAnsi="宋体" w:eastAsia="宋体" w:cs="宋体"/>
          <w:color w:val="auto"/>
          <w:sz w:val="32"/>
          <w:szCs w:val="28"/>
          <w:highlight w:val="none"/>
        </w:rPr>
        <w:t>方案</w:t>
      </w:r>
    </w:p>
    <w:p w14:paraId="7FBF730D">
      <w:pPr>
        <w:pStyle w:val="4"/>
        <w:spacing w:before="0" w:after="0" w:line="360" w:lineRule="auto"/>
        <w:jc w:val="center"/>
        <w:outlineLvl w:val="1"/>
        <w:rPr>
          <w:rFonts w:hint="eastAsia" w:ascii="宋体" w:hAnsi="宋体" w:eastAsia="宋体" w:cs="宋体"/>
          <w:b w:val="0"/>
          <w:bCs w:val="0"/>
          <w:color w:val="auto"/>
          <w:sz w:val="32"/>
          <w:szCs w:val="28"/>
          <w:highlight w:val="none"/>
          <w:lang w:val="en-US" w:eastAsia="zh-CN"/>
        </w:rPr>
      </w:pPr>
      <w:r>
        <w:rPr>
          <w:rFonts w:hint="eastAsia" w:ascii="宋体" w:hAnsi="宋体" w:eastAsia="宋体" w:cs="宋体"/>
          <w:b w:val="0"/>
          <w:bCs w:val="0"/>
          <w:color w:val="auto"/>
          <w:sz w:val="28"/>
          <w:highlight w:val="none"/>
        </w:rPr>
        <w:t>格式自拟，并清晰阐述。</w:t>
      </w:r>
    </w:p>
    <w:p w14:paraId="1554D46F">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0AE39C03">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33985BE3">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24A25F59">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248C8AFB">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246F5C40">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6F0CAC73">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0C6F2ACB">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494845F1">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16C0F468">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5AD5D72F">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61CCC168">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7D2CD9A6">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78C6B7A4">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68906F17">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33878FC1">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26EEB526">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5E94A3D3">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24A68233">
      <w:pPr>
        <w:pStyle w:val="4"/>
        <w:spacing w:before="0" w:after="0" w:line="360" w:lineRule="auto"/>
        <w:jc w:val="center"/>
        <w:outlineLvl w:val="1"/>
        <w:rPr>
          <w:rFonts w:hint="eastAsia" w:ascii="宋体" w:hAnsi="宋体" w:eastAsia="宋体" w:cs="宋体"/>
          <w:color w:val="auto"/>
          <w:sz w:val="32"/>
          <w:szCs w:val="28"/>
          <w:highlight w:val="none"/>
          <w:lang w:val="en-US" w:eastAsia="zh-CN"/>
        </w:rPr>
      </w:pPr>
    </w:p>
    <w:p w14:paraId="79547C0C">
      <w:pPr>
        <w:pStyle w:val="4"/>
        <w:spacing w:before="0" w:after="0" w:line="360" w:lineRule="auto"/>
        <w:jc w:val="both"/>
        <w:outlineLvl w:val="1"/>
        <w:rPr>
          <w:rFonts w:hint="eastAsia" w:ascii="宋体" w:hAnsi="宋体" w:eastAsia="宋体" w:cs="宋体"/>
          <w:color w:val="auto"/>
          <w:sz w:val="32"/>
          <w:szCs w:val="28"/>
          <w:highlight w:val="none"/>
          <w:lang w:eastAsia="zh-CN"/>
        </w:rPr>
      </w:pPr>
    </w:p>
    <w:p w14:paraId="5ADEAC33">
      <w:pPr>
        <w:pStyle w:val="4"/>
        <w:spacing w:before="0" w:after="0" w:line="360" w:lineRule="auto"/>
        <w:jc w:val="center"/>
        <w:outlineLvl w:val="1"/>
        <w:rPr>
          <w:rFonts w:hint="eastAsia" w:ascii="宋体" w:hAnsi="宋体" w:eastAsia="宋体" w:cs="宋体"/>
          <w:color w:val="auto"/>
          <w:sz w:val="32"/>
          <w:szCs w:val="28"/>
          <w:highlight w:val="none"/>
          <w:lang w:eastAsia="zh-CN"/>
        </w:rPr>
      </w:pPr>
      <w:r>
        <w:rPr>
          <w:rFonts w:hint="eastAsia" w:ascii="宋体" w:hAnsi="宋体" w:eastAsia="宋体" w:cs="宋体"/>
          <w:color w:val="auto"/>
          <w:sz w:val="32"/>
          <w:szCs w:val="28"/>
          <w:highlight w:val="none"/>
          <w:lang w:eastAsia="zh-CN"/>
        </w:rPr>
        <w:t>十二、企业实力</w:t>
      </w:r>
    </w:p>
    <w:p w14:paraId="399C29BC">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7B322C32">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63419DD6">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6E09CD6C">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0354D474">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3EFC83B1">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5D4A84A4">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27401AF2">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25D819FF">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3D0B88B6">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569F0BC0">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3BDB90A3">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20978AEB">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4B42109E">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6E3C5536">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6BD30C99">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093C9798">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6859B06D">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66331A9E">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37DFFA7B">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1EC78EE2">
      <w:pPr>
        <w:pStyle w:val="4"/>
        <w:spacing w:before="0" w:after="0" w:line="360" w:lineRule="auto"/>
        <w:jc w:val="center"/>
        <w:outlineLvl w:val="1"/>
        <w:rPr>
          <w:rFonts w:hint="eastAsia" w:ascii="宋体" w:hAnsi="宋体" w:eastAsia="宋体" w:cs="宋体"/>
          <w:color w:val="auto"/>
          <w:sz w:val="32"/>
          <w:szCs w:val="28"/>
          <w:highlight w:val="none"/>
          <w:lang w:eastAsia="zh-CN"/>
        </w:rPr>
      </w:pPr>
    </w:p>
    <w:p w14:paraId="6DF40F0C">
      <w:pPr>
        <w:pStyle w:val="4"/>
        <w:spacing w:before="0" w:after="0" w:line="360" w:lineRule="auto"/>
        <w:jc w:val="center"/>
        <w:outlineLvl w:val="1"/>
        <w:rPr>
          <w:rFonts w:hint="eastAsia" w:ascii="宋体" w:hAnsi="宋体" w:eastAsia="宋体" w:cs="宋体"/>
          <w:color w:val="auto"/>
          <w:sz w:val="32"/>
          <w:szCs w:val="28"/>
          <w:highlight w:val="none"/>
          <w:lang w:eastAsia="zh-CN"/>
        </w:rPr>
      </w:pPr>
      <w:r>
        <w:rPr>
          <w:rFonts w:hint="eastAsia" w:ascii="宋体" w:hAnsi="宋体" w:eastAsia="宋体" w:cs="宋体"/>
          <w:color w:val="auto"/>
          <w:sz w:val="32"/>
          <w:szCs w:val="28"/>
          <w:highlight w:val="none"/>
          <w:lang w:eastAsia="zh-CN"/>
        </w:rPr>
        <w:t>十三、售后服务承诺</w:t>
      </w:r>
    </w:p>
    <w:p w14:paraId="5A3FC5BF">
      <w:pPr>
        <w:spacing w:line="360" w:lineRule="auto"/>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格式自拟，并清晰阐述。</w:t>
      </w:r>
    </w:p>
    <w:p w14:paraId="75046CDC">
      <w:pPr>
        <w:pStyle w:val="12"/>
        <w:rPr>
          <w:rFonts w:hint="eastAsia"/>
          <w:color w:val="auto"/>
          <w:highlight w:val="none"/>
          <w:lang w:eastAsia="zh-CN"/>
        </w:rPr>
      </w:pPr>
    </w:p>
    <w:p w14:paraId="00461FDC">
      <w:pPr>
        <w:spacing w:line="360" w:lineRule="auto"/>
        <w:rPr>
          <w:rFonts w:hint="eastAsia" w:ascii="宋体" w:hAnsi="宋体" w:eastAsia="宋体" w:cs="宋体"/>
          <w:color w:val="auto"/>
          <w:sz w:val="24"/>
          <w:highlight w:val="none"/>
        </w:rPr>
      </w:pPr>
    </w:p>
    <w:p w14:paraId="655D2B79">
      <w:pPr>
        <w:spacing w:line="360" w:lineRule="auto"/>
        <w:rPr>
          <w:rFonts w:hint="eastAsia" w:ascii="宋体" w:hAnsi="宋体" w:eastAsia="宋体" w:cs="宋体"/>
          <w:color w:val="auto"/>
          <w:sz w:val="24"/>
          <w:highlight w:val="none"/>
        </w:rPr>
      </w:pPr>
    </w:p>
    <w:p w14:paraId="6EE0D39E">
      <w:pPr>
        <w:pStyle w:val="41"/>
        <w:rPr>
          <w:rFonts w:hint="eastAsia"/>
          <w:color w:val="auto"/>
          <w:highlight w:val="none"/>
        </w:rPr>
      </w:pPr>
      <w:r>
        <w:rPr>
          <w:rFonts w:hint="eastAsia" w:ascii="宋体" w:hAnsi="宋体" w:eastAsia="宋体" w:cs="宋体"/>
          <w:color w:val="auto"/>
          <w:sz w:val="24"/>
          <w:highlight w:val="none"/>
        </w:rPr>
        <w:br w:type="page"/>
      </w:r>
    </w:p>
    <w:p w14:paraId="46022F93">
      <w:pPr>
        <w:pStyle w:val="4"/>
        <w:spacing w:before="0" w:after="0" w:line="360" w:lineRule="auto"/>
        <w:jc w:val="center"/>
        <w:outlineLvl w:val="1"/>
        <w:rPr>
          <w:rFonts w:hint="eastAsia" w:ascii="宋体" w:hAnsi="宋体" w:eastAsia="宋体" w:cs="宋体"/>
          <w:color w:val="auto"/>
          <w:sz w:val="32"/>
          <w:szCs w:val="40"/>
          <w:highlight w:val="none"/>
          <w:lang w:val="en-US" w:eastAsia="zh-CN"/>
        </w:rPr>
      </w:pPr>
      <w:bookmarkStart w:id="302" w:name="_Toc2424"/>
      <w:bookmarkStart w:id="303" w:name="_Toc2866"/>
      <w:bookmarkStart w:id="304" w:name="_Toc25455"/>
      <w:r>
        <w:rPr>
          <w:rFonts w:hint="eastAsia" w:ascii="宋体" w:hAnsi="宋体" w:cs="宋体"/>
          <w:color w:val="auto"/>
          <w:sz w:val="32"/>
          <w:szCs w:val="40"/>
          <w:highlight w:val="none"/>
          <w:lang w:val="en-US" w:eastAsia="zh-CN"/>
        </w:rPr>
        <w:t>十四</w:t>
      </w:r>
      <w:r>
        <w:rPr>
          <w:rFonts w:hint="eastAsia" w:ascii="宋体" w:hAnsi="宋体" w:eastAsia="宋体" w:cs="宋体"/>
          <w:color w:val="auto"/>
          <w:sz w:val="32"/>
          <w:szCs w:val="40"/>
          <w:highlight w:val="none"/>
          <w:lang w:val="en-US" w:eastAsia="zh-CN"/>
        </w:rPr>
        <w:t>、中小企业声明函</w:t>
      </w:r>
      <w:bookmarkEnd w:id="302"/>
      <w:bookmarkEnd w:id="303"/>
      <w:bookmarkEnd w:id="304"/>
    </w:p>
    <w:p w14:paraId="43B0DB06">
      <w:pPr>
        <w:jc w:val="center"/>
        <w:rPr>
          <w:rFonts w:hint="eastAsia" w:ascii="宋体" w:hAnsi="宋体" w:cs="宋体"/>
          <w:b/>
          <w:bCs/>
          <w:iCs/>
          <w:color w:val="auto"/>
          <w:sz w:val="24"/>
          <w:szCs w:val="24"/>
          <w:highlight w:val="none"/>
        </w:rPr>
      </w:pPr>
      <w:r>
        <w:rPr>
          <w:rFonts w:hint="eastAsia" w:ascii="宋体" w:hAnsi="宋体" w:cs="宋体"/>
          <w:b/>
          <w:bCs/>
          <w:iCs/>
          <w:color w:val="auto"/>
          <w:sz w:val="24"/>
          <w:szCs w:val="24"/>
          <w:highlight w:val="none"/>
        </w:rPr>
        <w:t>（属于中小微企业的填写，不属于的无需填写此项内容）</w:t>
      </w:r>
    </w:p>
    <w:p w14:paraId="562DA704">
      <w:pPr>
        <w:spacing w:line="360" w:lineRule="auto"/>
        <w:ind w:firstLine="480" w:firstLineChars="200"/>
        <w:rPr>
          <w:rFonts w:hint="eastAsia" w:ascii="宋体" w:hAnsi="宋体" w:cs="宋体"/>
          <w:color w:val="auto"/>
          <w:sz w:val="24"/>
          <w:szCs w:val="24"/>
          <w:highlight w:val="none"/>
        </w:rPr>
      </w:pPr>
    </w:p>
    <w:p w14:paraId="78624ED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本公司</w:t>
      </w:r>
      <w:r>
        <w:rPr>
          <w:rFonts w:hint="eastAsia" w:ascii="宋体" w:hAnsi="宋体"/>
          <w:color w:val="auto"/>
          <w:sz w:val="24"/>
          <w:szCs w:val="24"/>
          <w:highlight w:val="none"/>
          <w:lang w:eastAsia="zh-CN"/>
        </w:rPr>
        <w:t>（联合体）</w:t>
      </w:r>
      <w:r>
        <w:rPr>
          <w:rFonts w:ascii="宋体" w:hAnsi="宋体"/>
          <w:color w:val="auto"/>
          <w:sz w:val="24"/>
          <w:szCs w:val="24"/>
          <w:highlight w:val="none"/>
        </w:rPr>
        <w:t>郑重声明，根据《政府采购促进中小企业发展管理办法》（财库﹝2020﹞46号）的规定，本公司</w:t>
      </w:r>
      <w:r>
        <w:rPr>
          <w:rFonts w:hint="eastAsia" w:ascii="宋体" w:hAnsi="宋体"/>
          <w:color w:val="auto"/>
          <w:sz w:val="24"/>
          <w:szCs w:val="24"/>
          <w:highlight w:val="none"/>
          <w:lang w:eastAsia="zh-CN"/>
        </w:rPr>
        <w:t>（联合体）</w:t>
      </w:r>
      <w:r>
        <w:rPr>
          <w:rFonts w:ascii="宋体" w:hAnsi="宋体"/>
          <w:color w:val="auto"/>
          <w:sz w:val="24"/>
          <w:szCs w:val="24"/>
          <w:highlight w:val="none"/>
        </w:rPr>
        <w:t>参加</w:t>
      </w:r>
      <w:r>
        <w:rPr>
          <w:rFonts w:ascii="宋体" w:hAnsi="宋体"/>
          <w:color w:val="auto"/>
          <w:sz w:val="24"/>
          <w:szCs w:val="24"/>
          <w:highlight w:val="none"/>
          <w:u w:val="single"/>
        </w:rPr>
        <w:t>（单位名称）</w:t>
      </w:r>
      <w:r>
        <w:rPr>
          <w:rFonts w:ascii="宋体" w:hAnsi="宋体"/>
          <w:color w:val="auto"/>
          <w:sz w:val="24"/>
          <w:szCs w:val="24"/>
          <w:highlight w:val="none"/>
        </w:rPr>
        <w:t xml:space="preserve"> 的</w:t>
      </w:r>
      <w:r>
        <w:rPr>
          <w:rFonts w:ascii="宋体" w:hAnsi="宋体"/>
          <w:color w:val="auto"/>
          <w:sz w:val="24"/>
          <w:szCs w:val="24"/>
          <w:highlight w:val="none"/>
          <w:u w:val="single"/>
        </w:rPr>
        <w:t>（项目名称）</w:t>
      </w:r>
      <w:r>
        <w:rPr>
          <w:rFonts w:ascii="宋体" w:hAnsi="宋体"/>
          <w:color w:val="auto"/>
          <w:sz w:val="24"/>
          <w:szCs w:val="24"/>
          <w:highlight w:val="none"/>
        </w:rPr>
        <w:t xml:space="preserve"> 采购活动，</w:t>
      </w:r>
      <w:r>
        <w:rPr>
          <w:rFonts w:ascii="宋体" w:hAnsi="宋体"/>
          <w:color w:val="auto"/>
          <w:sz w:val="24"/>
          <w:szCs w:val="24"/>
          <w:highlight w:val="none"/>
          <w:lang w:val="en-US" w:eastAsia="zh-CN"/>
        </w:rPr>
        <w:t>工</w:t>
      </w:r>
      <w:r>
        <w:rPr>
          <w:rFonts w:hint="eastAsia" w:ascii="宋体" w:hAnsi="宋体"/>
          <w:color w:val="auto"/>
          <w:sz w:val="24"/>
          <w:szCs w:val="24"/>
          <w:highlight w:val="none"/>
          <w:lang w:val="en-US" w:eastAsia="zh-CN"/>
        </w:rPr>
        <w:t>程的施工单位全部为符合政策要求的中小企业（或者：服务全部由符合政策要求的中小企业承接）。相关企业（含联合体中的中小企业、签订分包意向协议的中小企业）的</w:t>
      </w:r>
      <w:r>
        <w:rPr>
          <w:rFonts w:ascii="宋体" w:hAnsi="宋体"/>
          <w:color w:val="auto"/>
          <w:sz w:val="24"/>
          <w:szCs w:val="24"/>
          <w:highlight w:val="none"/>
        </w:rPr>
        <w:t>具体情况如下：</w:t>
      </w:r>
    </w:p>
    <w:p w14:paraId="72A46683">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none"/>
          <w:lang w:val="en-US" w:eastAsia="zh-CN"/>
        </w:rPr>
        <w:t>1.</w:t>
      </w:r>
      <w:r>
        <w:rPr>
          <w:rFonts w:ascii="宋体" w:hAnsi="宋体"/>
          <w:color w:val="auto"/>
          <w:sz w:val="24"/>
          <w:szCs w:val="24"/>
          <w:highlight w:val="none"/>
          <w:u w:val="single"/>
        </w:rPr>
        <w:t>（标的名称）</w:t>
      </w:r>
      <w:r>
        <w:rPr>
          <w:rFonts w:ascii="宋体" w:hAnsi="宋体"/>
          <w:color w:val="auto"/>
          <w:sz w:val="24"/>
          <w:szCs w:val="24"/>
          <w:highlight w:val="none"/>
        </w:rPr>
        <w:t xml:space="preserve"> ，属于</w:t>
      </w:r>
      <w:r>
        <w:rPr>
          <w:rFonts w:ascii="宋体" w:hAnsi="宋体"/>
          <w:color w:val="auto"/>
          <w:sz w:val="24"/>
          <w:szCs w:val="24"/>
          <w:highlight w:val="none"/>
          <w:u w:val="single"/>
        </w:rPr>
        <w:t>（</w:t>
      </w:r>
      <w:r>
        <w:rPr>
          <w:rFonts w:hint="eastAsia" w:ascii="宋体" w:hAnsi="宋体"/>
          <w:color w:val="auto"/>
          <w:sz w:val="24"/>
          <w:szCs w:val="24"/>
          <w:highlight w:val="none"/>
          <w:u w:val="single"/>
        </w:rPr>
        <w:t>软件和信息技术服务业</w:t>
      </w:r>
      <w:r>
        <w:rPr>
          <w:rFonts w:ascii="宋体" w:hAnsi="宋体"/>
          <w:color w:val="auto"/>
          <w:sz w:val="24"/>
          <w:szCs w:val="24"/>
          <w:highlight w:val="none"/>
          <w:u w:val="single"/>
        </w:rPr>
        <w:t>）</w:t>
      </w:r>
      <w:r>
        <w:rPr>
          <w:rFonts w:ascii="宋体" w:hAnsi="宋体"/>
          <w:color w:val="auto"/>
          <w:sz w:val="24"/>
          <w:szCs w:val="24"/>
          <w:highlight w:val="none"/>
        </w:rPr>
        <w:t>；</w:t>
      </w:r>
      <w:r>
        <w:rPr>
          <w:rFonts w:ascii="宋体" w:hAnsi="宋体"/>
          <w:color w:val="auto"/>
          <w:sz w:val="24"/>
          <w:szCs w:val="24"/>
          <w:highlight w:val="none"/>
          <w:lang w:val="en-US" w:eastAsia="zh-CN"/>
        </w:rPr>
        <w:t>承建（承接）企业</w:t>
      </w:r>
      <w:r>
        <w:rPr>
          <w:rFonts w:ascii="宋体" w:hAnsi="宋体"/>
          <w:color w:val="auto"/>
          <w:sz w:val="24"/>
          <w:szCs w:val="24"/>
          <w:highlight w:val="none"/>
        </w:rPr>
        <w:t>为</w:t>
      </w:r>
      <w:r>
        <w:rPr>
          <w:rFonts w:ascii="宋体" w:hAnsi="宋体"/>
          <w:color w:val="auto"/>
          <w:sz w:val="24"/>
          <w:szCs w:val="24"/>
          <w:highlight w:val="none"/>
          <w:u w:val="single"/>
        </w:rPr>
        <w:t>（企业名称）</w:t>
      </w:r>
      <w:r>
        <w:rPr>
          <w:rFonts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ascii="宋体" w:hAnsi="宋体"/>
          <w:color w:val="auto"/>
          <w:sz w:val="24"/>
          <w:szCs w:val="24"/>
          <w:highlight w:val="none"/>
        </w:rPr>
        <w:t>万元，属于</w:t>
      </w:r>
      <w:r>
        <w:rPr>
          <w:rFonts w:ascii="宋体" w:hAnsi="宋体"/>
          <w:color w:val="auto"/>
          <w:sz w:val="24"/>
          <w:szCs w:val="24"/>
          <w:highlight w:val="none"/>
          <w:u w:val="single"/>
        </w:rPr>
        <w:t>（中型企业、 小型企业、 微型企业）</w:t>
      </w:r>
      <w:r>
        <w:rPr>
          <w:rFonts w:ascii="宋体" w:hAnsi="宋体"/>
          <w:color w:val="auto"/>
          <w:sz w:val="24"/>
          <w:szCs w:val="24"/>
          <w:highlight w:val="none"/>
        </w:rPr>
        <w:t>；</w:t>
      </w:r>
    </w:p>
    <w:p w14:paraId="68B99F6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ascii="宋体" w:hAnsi="宋体"/>
          <w:color w:val="auto"/>
          <w:sz w:val="24"/>
          <w:szCs w:val="24"/>
          <w:highlight w:val="none"/>
          <w:u w:val="single"/>
        </w:rPr>
        <w:t>（标的名称）</w:t>
      </w:r>
      <w:r>
        <w:rPr>
          <w:rFonts w:ascii="宋体" w:hAnsi="宋体"/>
          <w:color w:val="auto"/>
          <w:sz w:val="24"/>
          <w:szCs w:val="24"/>
          <w:highlight w:val="none"/>
        </w:rPr>
        <w:t xml:space="preserve"> ，属于</w:t>
      </w:r>
      <w:r>
        <w:rPr>
          <w:rFonts w:ascii="宋体" w:hAnsi="宋体"/>
          <w:color w:val="auto"/>
          <w:sz w:val="24"/>
          <w:szCs w:val="24"/>
          <w:highlight w:val="none"/>
          <w:u w:val="single"/>
        </w:rPr>
        <w:t>（</w:t>
      </w:r>
      <w:r>
        <w:rPr>
          <w:rFonts w:hint="eastAsia" w:ascii="宋体" w:hAnsi="宋体"/>
          <w:color w:val="auto"/>
          <w:sz w:val="24"/>
          <w:szCs w:val="24"/>
          <w:highlight w:val="none"/>
          <w:u w:val="single"/>
        </w:rPr>
        <w:t>软件和信息技术服务业</w:t>
      </w:r>
      <w:r>
        <w:rPr>
          <w:rFonts w:ascii="宋体" w:hAnsi="宋体"/>
          <w:color w:val="auto"/>
          <w:sz w:val="24"/>
          <w:szCs w:val="24"/>
          <w:highlight w:val="none"/>
          <w:u w:val="single"/>
        </w:rPr>
        <w:t>）</w:t>
      </w:r>
      <w:r>
        <w:rPr>
          <w:rFonts w:ascii="宋体" w:hAnsi="宋体"/>
          <w:color w:val="auto"/>
          <w:sz w:val="24"/>
          <w:szCs w:val="24"/>
          <w:highlight w:val="none"/>
        </w:rPr>
        <w:t>；</w:t>
      </w:r>
      <w:r>
        <w:rPr>
          <w:rFonts w:ascii="宋体" w:hAnsi="宋体"/>
          <w:color w:val="auto"/>
          <w:sz w:val="24"/>
          <w:szCs w:val="24"/>
          <w:highlight w:val="none"/>
          <w:lang w:val="en-US" w:eastAsia="zh-CN"/>
        </w:rPr>
        <w:t>承建（承接）企业</w:t>
      </w:r>
      <w:r>
        <w:rPr>
          <w:rFonts w:ascii="宋体" w:hAnsi="宋体"/>
          <w:color w:val="auto"/>
          <w:sz w:val="24"/>
          <w:szCs w:val="24"/>
          <w:highlight w:val="none"/>
        </w:rPr>
        <w:t>为</w:t>
      </w:r>
      <w:r>
        <w:rPr>
          <w:rFonts w:ascii="宋体" w:hAnsi="宋体"/>
          <w:color w:val="auto"/>
          <w:sz w:val="24"/>
          <w:szCs w:val="24"/>
          <w:highlight w:val="none"/>
          <w:u w:val="single"/>
        </w:rPr>
        <w:t>（企业名称）</w:t>
      </w:r>
      <w:r>
        <w:rPr>
          <w:rFonts w:ascii="宋体" w:hAnsi="宋体"/>
          <w:color w:val="auto"/>
          <w:sz w:val="24"/>
          <w:szCs w:val="24"/>
          <w:highlight w:val="none"/>
        </w:rPr>
        <w:t>，从业人员</w:t>
      </w:r>
      <w:r>
        <w:rPr>
          <w:rFonts w:hint="eastAsia" w:ascii="宋体" w:hAnsi="宋体"/>
          <w:color w:val="auto"/>
          <w:sz w:val="24"/>
          <w:szCs w:val="24"/>
          <w:highlight w:val="none"/>
          <w:u w:val="single"/>
        </w:rPr>
        <w:t xml:space="preserve">     </w:t>
      </w:r>
      <w:r>
        <w:rPr>
          <w:rFonts w:ascii="宋体" w:hAnsi="宋体"/>
          <w:color w:val="auto"/>
          <w:sz w:val="24"/>
          <w:szCs w:val="24"/>
          <w:highlight w:val="none"/>
        </w:rPr>
        <w:t>人，营业收入为</w:t>
      </w:r>
      <w:r>
        <w:rPr>
          <w:rFonts w:hint="eastAsia" w:ascii="宋体" w:hAnsi="宋体"/>
          <w:color w:val="auto"/>
          <w:sz w:val="24"/>
          <w:szCs w:val="24"/>
          <w:highlight w:val="none"/>
          <w:u w:val="single"/>
        </w:rPr>
        <w:t xml:space="preserve">     </w:t>
      </w:r>
      <w:r>
        <w:rPr>
          <w:rFonts w:ascii="宋体" w:hAnsi="宋体"/>
          <w:color w:val="auto"/>
          <w:sz w:val="24"/>
          <w:szCs w:val="24"/>
          <w:highlight w:val="none"/>
        </w:rPr>
        <w:t>万元，资产总额为</w:t>
      </w:r>
      <w:r>
        <w:rPr>
          <w:rFonts w:hint="eastAsia" w:ascii="宋体" w:hAnsi="宋体"/>
          <w:color w:val="auto"/>
          <w:sz w:val="24"/>
          <w:szCs w:val="24"/>
          <w:highlight w:val="none"/>
          <w:u w:val="single"/>
        </w:rPr>
        <w:t xml:space="preserve">     </w:t>
      </w:r>
      <w:r>
        <w:rPr>
          <w:rFonts w:ascii="宋体" w:hAnsi="宋体"/>
          <w:color w:val="auto"/>
          <w:sz w:val="24"/>
          <w:szCs w:val="24"/>
          <w:highlight w:val="none"/>
        </w:rPr>
        <w:t>万元，属于</w:t>
      </w:r>
      <w:r>
        <w:rPr>
          <w:rFonts w:ascii="宋体" w:hAnsi="宋体"/>
          <w:color w:val="auto"/>
          <w:sz w:val="24"/>
          <w:szCs w:val="24"/>
          <w:highlight w:val="none"/>
          <w:u w:val="single"/>
        </w:rPr>
        <w:t>（中型企业、 小型企业、 微型企业）</w:t>
      </w:r>
      <w:r>
        <w:rPr>
          <w:rFonts w:ascii="宋体" w:hAnsi="宋体"/>
          <w:color w:val="auto"/>
          <w:sz w:val="24"/>
          <w:szCs w:val="24"/>
          <w:highlight w:val="none"/>
        </w:rPr>
        <w:t>；</w:t>
      </w:r>
    </w:p>
    <w:p w14:paraId="0A212EC9">
      <w:pPr>
        <w:pStyle w:val="60"/>
        <w:ind w:firstLine="480" w:firstLineChars="200"/>
        <w:rPr>
          <w:rFonts w:hint="eastAsia" w:eastAsia="宋体"/>
          <w:color w:val="auto"/>
          <w:highlight w:val="none"/>
          <w:lang w:val="en-US" w:eastAsia="zh-CN"/>
        </w:rPr>
      </w:pPr>
      <w:r>
        <w:rPr>
          <w:rFonts w:hint="eastAsia" w:hAnsi="宋体"/>
          <w:color w:val="auto"/>
          <w:sz w:val="24"/>
          <w:szCs w:val="24"/>
          <w:highlight w:val="none"/>
          <w:lang w:eastAsia="zh-CN"/>
        </w:rPr>
        <w:t>……</w:t>
      </w:r>
    </w:p>
    <w:p w14:paraId="601C641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eastAsia="zh-CN"/>
        </w:rPr>
        <w:t>以上企业，</w:t>
      </w:r>
      <w:r>
        <w:rPr>
          <w:rFonts w:ascii="宋体" w:hAnsi="宋体"/>
          <w:color w:val="auto"/>
          <w:sz w:val="24"/>
          <w:szCs w:val="24"/>
          <w:highlight w:val="none"/>
        </w:rPr>
        <w:t>不属于大企业的分支机构，不存在控股股东为大企业的情形，也不存在与大企业的负责人为同一人的情形。</w:t>
      </w:r>
    </w:p>
    <w:p w14:paraId="7BDF3B8B">
      <w:pPr>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ascii="宋体" w:hAnsi="宋体"/>
          <w:color w:val="auto"/>
          <w:sz w:val="24"/>
          <w:szCs w:val="24"/>
          <w:highlight w:val="none"/>
        </w:rPr>
        <w:t>本企业对上述声明内容的真实性负责。如有虚假，将依法承担相应责任。</w:t>
      </w:r>
      <w:r>
        <w:rPr>
          <w:rFonts w:hint="eastAsia" w:ascii="宋体" w:hAnsi="宋体" w:eastAsia="宋体" w:cs="宋体"/>
          <w:color w:val="auto"/>
          <w:sz w:val="24"/>
          <w:szCs w:val="24"/>
          <w:highlight w:val="none"/>
          <w:lang w:val="en-US" w:eastAsia="zh-CN"/>
        </w:rPr>
        <w:t xml:space="preserve">                    </w:t>
      </w:r>
    </w:p>
    <w:p w14:paraId="17803E27">
      <w:pPr>
        <w:spacing w:line="360" w:lineRule="auto"/>
        <w:ind w:firstLine="480" w:firstLineChars="200"/>
        <w:jc w:val="center"/>
        <w:rPr>
          <w:rFonts w:hint="eastAsia" w:ascii="宋体" w:hAnsi="宋体" w:eastAsia="宋体" w:cs="宋体"/>
          <w:color w:val="auto"/>
          <w:sz w:val="24"/>
          <w:szCs w:val="24"/>
          <w:highlight w:val="none"/>
          <w:lang w:val="en-US" w:eastAsia="zh-CN"/>
        </w:rPr>
      </w:pPr>
    </w:p>
    <w:p w14:paraId="7D61221D">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企业名称（盖章）：</w:t>
      </w:r>
    </w:p>
    <w:p w14:paraId="13F1DA4A">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5E872BD0">
      <w:pPr>
        <w:spacing w:line="360" w:lineRule="auto"/>
        <w:ind w:firstLine="480" w:firstLineChars="200"/>
        <w:rPr>
          <w:rFonts w:hint="eastAsia" w:ascii="宋体" w:hAnsi="宋体" w:cs="宋体"/>
          <w:color w:val="auto"/>
          <w:sz w:val="24"/>
          <w:szCs w:val="24"/>
          <w:highlight w:val="none"/>
        </w:rPr>
      </w:pPr>
    </w:p>
    <w:p w14:paraId="70E7E95C">
      <w:pPr>
        <w:spacing w:line="360" w:lineRule="auto"/>
        <w:ind w:firstLine="480" w:firstLineChars="200"/>
        <w:rPr>
          <w:rFonts w:hint="eastAsia" w:ascii="宋体" w:hAnsi="宋体" w:cs="宋体"/>
          <w:color w:val="auto"/>
          <w:sz w:val="24"/>
          <w:szCs w:val="24"/>
          <w:highlight w:val="none"/>
        </w:rPr>
      </w:pPr>
    </w:p>
    <w:p w14:paraId="1F0DA162">
      <w:pPr>
        <w:spacing w:line="360" w:lineRule="auto"/>
        <w:ind w:firstLine="480" w:firstLineChars="200"/>
        <w:rPr>
          <w:rFonts w:hint="eastAsia" w:ascii="宋体" w:hAnsi="宋体" w:cs="宋体"/>
          <w:iCs/>
          <w:color w:val="auto"/>
          <w:sz w:val="24"/>
          <w:szCs w:val="24"/>
          <w:highlight w:val="none"/>
        </w:rPr>
      </w:pPr>
      <w:r>
        <w:rPr>
          <w:rFonts w:hint="eastAsia" w:ascii="宋体" w:hAnsi="宋体" w:cs="宋体"/>
          <w:color w:val="auto"/>
          <w:sz w:val="24"/>
          <w:szCs w:val="24"/>
          <w:highlight w:val="none"/>
        </w:rPr>
        <w:t>注：从业人员、营业收入、资产总额填报上一年度数据，无上一年度数据的新成立企业可不填报。</w:t>
      </w:r>
    </w:p>
    <w:p w14:paraId="23A5CE94">
      <w:pPr>
        <w:spacing w:before="160" w:after="160" w:line="240" w:lineRule="atLeast"/>
        <w:ind w:left="851" w:firstLine="643" w:firstLineChars="200"/>
        <w:jc w:val="center"/>
        <w:textAlignment w:val="baseline"/>
        <w:rPr>
          <w:rFonts w:hint="eastAsia" w:ascii="宋体" w:hAnsi="宋体" w:cs="宋体"/>
          <w:b/>
          <w:color w:val="auto"/>
          <w:kern w:val="0"/>
          <w:sz w:val="32"/>
          <w:szCs w:val="32"/>
          <w:highlight w:val="none"/>
        </w:rPr>
      </w:pPr>
    </w:p>
    <w:p w14:paraId="30FC7F9B">
      <w:pPr>
        <w:pStyle w:val="25"/>
        <w:rPr>
          <w:rFonts w:hint="eastAsia"/>
          <w:color w:val="auto"/>
          <w:highlight w:val="none"/>
        </w:rPr>
      </w:pPr>
    </w:p>
    <w:p w14:paraId="02424A9F">
      <w:pPr>
        <w:pStyle w:val="25"/>
        <w:ind w:left="0" w:leftChars="0" w:firstLine="0" w:firstLineChars="0"/>
        <w:rPr>
          <w:rFonts w:hint="eastAsia"/>
          <w:color w:val="auto"/>
          <w:highlight w:val="none"/>
        </w:rPr>
      </w:pPr>
    </w:p>
    <w:p w14:paraId="28B5818E">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39E2076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中小企业划型标准规定</w:t>
      </w:r>
    </w:p>
    <w:p w14:paraId="25525E6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一、根据《中华人民共和国中小企业促进法》和《国务院关于进一步促进中小企业发展的若干意见》（国发〔2009〕36号)，制定本规定。</w:t>
      </w:r>
    </w:p>
    <w:p w14:paraId="4AB8A5D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二、中小企业划分为中型、小型、微型三种类型，具体标准根据企业从业人员、营业收入、资产总额等指标，结合行业特点制定。</w:t>
      </w:r>
    </w:p>
    <w:p w14:paraId="0E16351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326358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四、各行业划型标准为：</w:t>
      </w:r>
    </w:p>
    <w:p w14:paraId="4E0B1B2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2E07940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8A2D1D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3DB104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1097BC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DED136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75B40D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F4824E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72B659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3927D3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E5065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A12DC3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1A94FA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F7A0F6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A668C5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2DF5F9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773B25B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五、企业类型的划分以统计部门的统计数据为依据。</w:t>
      </w:r>
    </w:p>
    <w:p w14:paraId="179099F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六、本规定适用于在中华人民共和国境内依法设立的各类所有制和各种组织形式的企业。个体工商户和本规定以外的行业，参照本规定进行划型。</w:t>
      </w:r>
    </w:p>
    <w:p w14:paraId="38A4C44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0025FD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八、本规定由工业和信息化部、国家统计局会同有关部门根据《国民经济行业分类》修订情况和企业发展变化情况适时修订。</w:t>
      </w:r>
    </w:p>
    <w:p w14:paraId="78984E4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九、本规定由工业和信息化部、国家统计局会同有关部门负责解释。</w:t>
      </w:r>
    </w:p>
    <w:p w14:paraId="605CCBA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十、本规定自发布之日起执行，原国家经贸委、原国家计委、财政部和国家统计局2003年颁布的《中小企业标准暂行规定》国经贸中小企[2003]143号同时废止。</w:t>
      </w:r>
    </w:p>
    <w:p w14:paraId="197BE02C">
      <w:pPr>
        <w:pStyle w:val="25"/>
        <w:rPr>
          <w:rFonts w:hint="eastAsia"/>
          <w:color w:val="auto"/>
          <w:highlight w:val="none"/>
        </w:rPr>
      </w:pPr>
    </w:p>
    <w:p w14:paraId="798D9892">
      <w:pPr>
        <w:spacing w:line="360" w:lineRule="auto"/>
        <w:jc w:val="center"/>
        <w:outlineLvl w:val="0"/>
        <w:rPr>
          <w:rFonts w:hint="eastAsia" w:ascii="宋体" w:hAnsi="宋体" w:cs="宋体"/>
          <w:b/>
          <w:bCs/>
          <w:color w:val="auto"/>
          <w:sz w:val="32"/>
          <w:szCs w:val="32"/>
          <w:highlight w:val="none"/>
          <w:lang w:val="en-US" w:eastAsia="zh-CN"/>
        </w:rPr>
      </w:pPr>
      <w:bookmarkStart w:id="305" w:name="_Toc20206"/>
      <w:bookmarkStart w:id="306" w:name="_Toc27746"/>
      <w:bookmarkStart w:id="307" w:name="_Toc17441"/>
      <w:bookmarkStart w:id="308" w:name="_Toc32404"/>
    </w:p>
    <w:p w14:paraId="70FA5536">
      <w:pPr>
        <w:spacing w:line="360" w:lineRule="auto"/>
        <w:jc w:val="center"/>
        <w:outlineLvl w:val="0"/>
        <w:rPr>
          <w:rFonts w:hint="eastAsia" w:ascii="宋体" w:hAnsi="宋体" w:cs="宋体"/>
          <w:b/>
          <w:bCs/>
          <w:color w:val="auto"/>
          <w:sz w:val="32"/>
          <w:szCs w:val="32"/>
          <w:highlight w:val="none"/>
          <w:lang w:val="en-US" w:eastAsia="zh-CN"/>
        </w:rPr>
      </w:pPr>
    </w:p>
    <w:p w14:paraId="69CABDF4">
      <w:pPr>
        <w:spacing w:line="360" w:lineRule="auto"/>
        <w:jc w:val="center"/>
        <w:outlineLvl w:val="0"/>
        <w:rPr>
          <w:rFonts w:hint="eastAsia" w:ascii="宋体" w:hAnsi="宋体" w:cs="宋体"/>
          <w:b/>
          <w:bCs/>
          <w:color w:val="auto"/>
          <w:sz w:val="32"/>
          <w:szCs w:val="32"/>
          <w:highlight w:val="none"/>
          <w:lang w:val="en-US" w:eastAsia="zh-CN"/>
        </w:rPr>
      </w:pPr>
    </w:p>
    <w:p w14:paraId="3AA39619">
      <w:pPr>
        <w:spacing w:line="360" w:lineRule="auto"/>
        <w:jc w:val="center"/>
        <w:outlineLvl w:val="0"/>
        <w:rPr>
          <w:rFonts w:hint="eastAsia" w:ascii="宋体" w:hAnsi="宋体" w:cs="宋体"/>
          <w:b/>
          <w:bCs/>
          <w:color w:val="auto"/>
          <w:sz w:val="32"/>
          <w:szCs w:val="32"/>
          <w:highlight w:val="none"/>
        </w:rPr>
      </w:pPr>
      <w:bookmarkStart w:id="309" w:name="_Toc22571"/>
      <w:r>
        <w:rPr>
          <w:rFonts w:hint="eastAsia" w:ascii="宋体" w:hAnsi="宋体" w:cs="宋体"/>
          <w:b/>
          <w:bCs/>
          <w:color w:val="auto"/>
          <w:sz w:val="32"/>
          <w:szCs w:val="32"/>
          <w:highlight w:val="none"/>
          <w:lang w:val="en-US" w:eastAsia="zh-CN"/>
        </w:rPr>
        <w:t>十五</w:t>
      </w:r>
      <w:r>
        <w:rPr>
          <w:rFonts w:hint="eastAsia" w:ascii="宋体" w:hAnsi="宋体" w:cs="宋体"/>
          <w:b/>
          <w:bCs/>
          <w:color w:val="auto"/>
          <w:sz w:val="32"/>
          <w:szCs w:val="32"/>
          <w:highlight w:val="none"/>
        </w:rPr>
        <w:t>、残疾人福利性单位声明函</w:t>
      </w:r>
      <w:bookmarkEnd w:id="305"/>
      <w:bookmarkEnd w:id="306"/>
      <w:bookmarkEnd w:id="307"/>
      <w:bookmarkEnd w:id="308"/>
      <w:bookmarkEnd w:id="309"/>
    </w:p>
    <w:p w14:paraId="0742A087">
      <w:pPr>
        <w:jc w:val="center"/>
        <w:rPr>
          <w:rFonts w:hint="eastAsia" w:ascii="宋体" w:hAnsi="宋体" w:cs="宋体"/>
          <w:b/>
          <w:bCs/>
          <w:color w:val="auto"/>
          <w:sz w:val="32"/>
          <w:szCs w:val="32"/>
          <w:highlight w:val="none"/>
        </w:rPr>
      </w:pPr>
      <w:r>
        <w:rPr>
          <w:rFonts w:hint="eastAsia" w:ascii="宋体" w:hAnsi="宋体" w:cs="宋体"/>
          <w:b/>
          <w:bCs/>
          <w:iCs/>
          <w:color w:val="auto"/>
          <w:sz w:val="24"/>
          <w:szCs w:val="24"/>
          <w:highlight w:val="none"/>
        </w:rPr>
        <w:t>（属于残疾人福利性单位的填写，不属于的无需填写此项内容）</w:t>
      </w:r>
    </w:p>
    <w:p w14:paraId="4F8EE59E">
      <w:pPr>
        <w:snapToGrid w:val="0"/>
        <w:spacing w:line="520" w:lineRule="exact"/>
        <w:ind w:left="1177" w:leftChars="-72" w:right="84" w:rightChars="40" w:hanging="1328" w:hangingChars="415"/>
        <w:jc w:val="center"/>
        <w:rPr>
          <w:rFonts w:hint="eastAsia" w:ascii="宋体" w:hAnsi="宋体" w:cs="宋体"/>
          <w:color w:val="auto"/>
          <w:sz w:val="32"/>
          <w:szCs w:val="32"/>
          <w:highlight w:val="none"/>
        </w:rPr>
      </w:pPr>
    </w:p>
    <w:p w14:paraId="2212AAC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01855A2F">
      <w:pPr>
        <w:spacing w:line="360" w:lineRule="auto"/>
        <w:ind w:firstLine="480" w:firstLineChars="200"/>
        <w:rPr>
          <w:rFonts w:hint="eastAsia" w:ascii="宋体" w:hAnsi="宋体" w:cs="宋体"/>
          <w:b/>
          <w:bCs/>
          <w:color w:val="auto"/>
          <w:sz w:val="32"/>
          <w:szCs w:val="32"/>
          <w:highlight w:val="none"/>
        </w:rPr>
      </w:pPr>
      <w:r>
        <w:rPr>
          <w:rFonts w:hint="eastAsia" w:ascii="宋体" w:hAnsi="宋体" w:cs="宋体"/>
          <w:color w:val="auto"/>
          <w:sz w:val="24"/>
          <w:szCs w:val="24"/>
          <w:highlight w:val="none"/>
        </w:rPr>
        <w:t>本单位对上述声明的真实性负责。如有虚假，将依法承担相应责任。</w:t>
      </w:r>
    </w:p>
    <w:p w14:paraId="298B9E9A">
      <w:pPr>
        <w:spacing w:line="360" w:lineRule="auto"/>
        <w:jc w:val="center"/>
        <w:rPr>
          <w:rFonts w:hint="eastAsia" w:ascii="宋体" w:hAnsi="宋体" w:cs="宋体"/>
          <w:b/>
          <w:bCs/>
          <w:color w:val="auto"/>
          <w:sz w:val="32"/>
          <w:szCs w:val="32"/>
          <w:highlight w:val="none"/>
        </w:rPr>
      </w:pPr>
    </w:p>
    <w:p w14:paraId="5085B050">
      <w:pPr>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73C8F16">
      <w:pPr>
        <w:spacing w:line="360" w:lineRule="auto"/>
        <w:ind w:firstLine="480" w:firstLineChars="200"/>
        <w:jc w:val="center"/>
        <w:rPr>
          <w:rFonts w:hint="eastAsia" w:ascii="宋体" w:hAnsi="宋体" w:cs="宋体"/>
          <w:color w:val="auto"/>
          <w:sz w:val="24"/>
          <w:szCs w:val="24"/>
          <w:highlight w:val="none"/>
        </w:rPr>
      </w:pPr>
    </w:p>
    <w:p w14:paraId="619691A2">
      <w:pPr>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单位名称（盖章）：</w:t>
      </w:r>
    </w:p>
    <w:p w14:paraId="1D665984">
      <w:pPr>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 期：</w:t>
      </w:r>
    </w:p>
    <w:p w14:paraId="51DEFFC4">
      <w:pPr>
        <w:spacing w:line="360" w:lineRule="auto"/>
        <w:jc w:val="center"/>
        <w:rPr>
          <w:rFonts w:hint="eastAsia" w:ascii="宋体" w:hAnsi="宋体" w:cs="宋体"/>
          <w:b/>
          <w:bCs/>
          <w:color w:val="auto"/>
          <w:sz w:val="32"/>
          <w:szCs w:val="32"/>
          <w:highlight w:val="none"/>
        </w:rPr>
      </w:pPr>
    </w:p>
    <w:p w14:paraId="3EE95A8A">
      <w:pPr>
        <w:spacing w:line="360" w:lineRule="auto"/>
        <w:rPr>
          <w:rFonts w:hint="eastAsia" w:ascii="宋体" w:hAnsi="宋体" w:cs="宋体"/>
          <w:b/>
          <w:bCs/>
          <w:color w:val="auto"/>
          <w:sz w:val="32"/>
          <w:szCs w:val="32"/>
          <w:highlight w:val="none"/>
        </w:rPr>
      </w:pPr>
    </w:p>
    <w:p w14:paraId="0716AF13">
      <w:pPr>
        <w:spacing w:line="360" w:lineRule="auto"/>
        <w:rPr>
          <w:rFonts w:hint="eastAsia" w:ascii="宋体" w:hAnsi="宋体" w:cs="宋体"/>
          <w:b/>
          <w:bCs/>
          <w:color w:val="auto"/>
          <w:sz w:val="32"/>
          <w:szCs w:val="32"/>
          <w:highlight w:val="none"/>
        </w:rPr>
      </w:pPr>
    </w:p>
    <w:p w14:paraId="11C7FFAA">
      <w:pPr>
        <w:spacing w:line="360" w:lineRule="auto"/>
        <w:rPr>
          <w:rFonts w:hint="eastAsia" w:ascii="宋体" w:hAnsi="宋体" w:cs="宋体"/>
          <w:b/>
          <w:bCs/>
          <w:color w:val="auto"/>
          <w:sz w:val="32"/>
          <w:szCs w:val="32"/>
          <w:highlight w:val="none"/>
        </w:rPr>
      </w:pPr>
    </w:p>
    <w:p w14:paraId="5854FDEB">
      <w:pPr>
        <w:spacing w:line="360" w:lineRule="auto"/>
        <w:rPr>
          <w:rFonts w:hint="eastAsia" w:ascii="宋体" w:hAnsi="宋体" w:cs="宋体"/>
          <w:b/>
          <w:bCs/>
          <w:color w:val="auto"/>
          <w:sz w:val="32"/>
          <w:szCs w:val="32"/>
          <w:highlight w:val="none"/>
        </w:rPr>
      </w:pPr>
    </w:p>
    <w:p w14:paraId="3EE92DA1">
      <w:pPr>
        <w:spacing w:line="360" w:lineRule="auto"/>
        <w:rPr>
          <w:rFonts w:hint="eastAsia" w:ascii="宋体" w:hAnsi="宋体" w:cs="宋体"/>
          <w:b/>
          <w:bCs/>
          <w:color w:val="auto"/>
          <w:sz w:val="32"/>
          <w:szCs w:val="32"/>
          <w:highlight w:val="none"/>
        </w:rPr>
      </w:pPr>
    </w:p>
    <w:p w14:paraId="097E30F7">
      <w:pPr>
        <w:spacing w:line="360" w:lineRule="auto"/>
        <w:rPr>
          <w:rFonts w:hint="eastAsia" w:ascii="宋体" w:hAnsi="宋体" w:cs="宋体"/>
          <w:b/>
          <w:bCs/>
          <w:color w:val="auto"/>
          <w:sz w:val="32"/>
          <w:szCs w:val="32"/>
          <w:highlight w:val="none"/>
        </w:rPr>
      </w:pPr>
    </w:p>
    <w:p w14:paraId="6D78E445">
      <w:pPr>
        <w:spacing w:line="360" w:lineRule="auto"/>
        <w:rPr>
          <w:rFonts w:hint="eastAsia" w:ascii="宋体" w:hAnsi="宋体" w:cs="宋体"/>
          <w:b/>
          <w:bCs/>
          <w:color w:val="auto"/>
          <w:sz w:val="32"/>
          <w:szCs w:val="32"/>
          <w:highlight w:val="none"/>
        </w:rPr>
      </w:pPr>
    </w:p>
    <w:p w14:paraId="16163829">
      <w:pPr>
        <w:spacing w:line="360" w:lineRule="auto"/>
        <w:rPr>
          <w:rFonts w:hint="eastAsia" w:ascii="宋体" w:hAnsi="宋体" w:cs="宋体"/>
          <w:b/>
          <w:bCs/>
          <w:color w:val="auto"/>
          <w:sz w:val="32"/>
          <w:szCs w:val="32"/>
          <w:highlight w:val="none"/>
        </w:rPr>
      </w:pPr>
    </w:p>
    <w:p w14:paraId="1CA861A6">
      <w:pPr>
        <w:spacing w:line="360" w:lineRule="auto"/>
        <w:rPr>
          <w:rFonts w:hint="eastAsia" w:ascii="宋体" w:hAnsi="宋体" w:cs="宋体"/>
          <w:b/>
          <w:bCs/>
          <w:color w:val="auto"/>
          <w:sz w:val="32"/>
          <w:szCs w:val="32"/>
          <w:highlight w:val="none"/>
        </w:rPr>
      </w:pPr>
    </w:p>
    <w:p w14:paraId="77793C96">
      <w:pPr>
        <w:spacing w:line="360" w:lineRule="auto"/>
        <w:jc w:val="both"/>
        <w:rPr>
          <w:rFonts w:hint="eastAsia" w:ascii="宋体" w:hAnsi="宋体" w:cs="宋体"/>
          <w:b/>
          <w:bCs/>
          <w:color w:val="auto"/>
          <w:sz w:val="32"/>
          <w:szCs w:val="32"/>
          <w:highlight w:val="none"/>
        </w:rPr>
      </w:pPr>
    </w:p>
    <w:p w14:paraId="69CD8B46">
      <w:pPr>
        <w:spacing w:line="360" w:lineRule="auto"/>
        <w:jc w:val="center"/>
        <w:outlineLvl w:val="0"/>
        <w:rPr>
          <w:rFonts w:hint="eastAsia" w:ascii="宋体" w:hAnsi="宋体" w:cs="宋体"/>
          <w:b/>
          <w:bCs/>
          <w:color w:val="auto"/>
          <w:sz w:val="32"/>
          <w:szCs w:val="32"/>
          <w:highlight w:val="none"/>
        </w:rPr>
      </w:pPr>
      <w:bookmarkStart w:id="310" w:name="_Toc18859"/>
      <w:bookmarkStart w:id="311" w:name="_Toc3403"/>
      <w:bookmarkStart w:id="312" w:name="_Toc26717"/>
      <w:bookmarkStart w:id="313" w:name="_Toc14507"/>
      <w:bookmarkStart w:id="314" w:name="_Toc4841"/>
      <w:r>
        <w:rPr>
          <w:rFonts w:hint="eastAsia" w:ascii="宋体" w:hAnsi="宋体" w:cs="宋体"/>
          <w:b/>
          <w:bCs/>
          <w:color w:val="auto"/>
          <w:sz w:val="32"/>
          <w:szCs w:val="32"/>
          <w:highlight w:val="none"/>
          <w:lang w:val="en-US" w:eastAsia="zh-CN"/>
        </w:rPr>
        <w:t>十六</w:t>
      </w:r>
      <w:r>
        <w:rPr>
          <w:rFonts w:hint="eastAsia" w:ascii="宋体" w:hAnsi="宋体" w:cs="宋体"/>
          <w:b/>
          <w:bCs/>
          <w:color w:val="auto"/>
          <w:sz w:val="32"/>
          <w:szCs w:val="32"/>
          <w:highlight w:val="none"/>
        </w:rPr>
        <w:t>、监狱企业证明文件</w:t>
      </w:r>
      <w:bookmarkEnd w:id="310"/>
      <w:bookmarkEnd w:id="311"/>
      <w:bookmarkEnd w:id="312"/>
      <w:bookmarkEnd w:id="313"/>
      <w:bookmarkEnd w:id="314"/>
    </w:p>
    <w:p w14:paraId="1490593D">
      <w:pPr>
        <w:jc w:val="center"/>
        <w:rPr>
          <w:rFonts w:hint="eastAsia" w:ascii="宋体" w:hAnsi="宋体" w:cs="宋体"/>
          <w:b/>
          <w:bCs/>
          <w:iCs/>
          <w:color w:val="auto"/>
          <w:sz w:val="24"/>
          <w:szCs w:val="24"/>
          <w:highlight w:val="none"/>
        </w:rPr>
      </w:pPr>
      <w:r>
        <w:rPr>
          <w:rFonts w:hint="eastAsia" w:ascii="宋体" w:hAnsi="宋体" w:cs="宋体"/>
          <w:b/>
          <w:bCs/>
          <w:iCs/>
          <w:color w:val="auto"/>
          <w:sz w:val="24"/>
          <w:szCs w:val="24"/>
          <w:highlight w:val="none"/>
        </w:rPr>
        <w:t>（属于监狱企业的提供，不属于的无需提供此项内容）</w:t>
      </w:r>
    </w:p>
    <w:p w14:paraId="7B82871C">
      <w:pPr>
        <w:spacing w:line="360" w:lineRule="auto"/>
        <w:rPr>
          <w:rFonts w:hint="eastAsia" w:ascii="宋体" w:hAnsi="宋体" w:cs="宋体"/>
          <w:b/>
          <w:bCs/>
          <w:color w:val="auto"/>
          <w:sz w:val="32"/>
          <w:szCs w:val="32"/>
          <w:highlight w:val="none"/>
        </w:rPr>
      </w:pPr>
    </w:p>
    <w:p w14:paraId="06DECFC8">
      <w:pPr>
        <w:spacing w:line="360" w:lineRule="auto"/>
        <w:ind w:firstLine="480" w:firstLineChars="2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（监狱企业参加政府采购活动时，应当提供由省级以上监狱管理局、戒毒管理局(含新疆生产建设兵团)出具的属于监狱企业的证明文件。</w:t>
      </w:r>
    </w:p>
    <w:p w14:paraId="4BDD039A">
      <w:pPr>
        <w:spacing w:line="360" w:lineRule="auto"/>
        <w:ind w:firstLine="720" w:firstLineChars="300"/>
        <w:jc w:val="left"/>
        <w:rPr>
          <w:rFonts w:hint="eastAsia" w:ascii="宋体" w:hAnsi="宋体" w:cs="宋体"/>
          <w:bCs/>
          <w:color w:val="auto"/>
          <w:sz w:val="24"/>
          <w:szCs w:val="24"/>
          <w:highlight w:val="none"/>
        </w:rPr>
      </w:pPr>
    </w:p>
    <w:p w14:paraId="2FD29C31">
      <w:pPr>
        <w:spacing w:line="360" w:lineRule="auto"/>
        <w:ind w:firstLine="720" w:firstLineChars="300"/>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注：在</w:t>
      </w:r>
      <w:r>
        <w:rPr>
          <w:rFonts w:hint="eastAsia" w:ascii="宋体" w:hAnsi="宋体" w:cs="宋体"/>
          <w:bCs/>
          <w:color w:val="auto"/>
          <w:sz w:val="24"/>
          <w:szCs w:val="24"/>
          <w:highlight w:val="none"/>
          <w:lang w:eastAsia="zh-CN"/>
        </w:rPr>
        <w:t>投标文件</w:t>
      </w:r>
      <w:r>
        <w:rPr>
          <w:rFonts w:hint="eastAsia" w:ascii="宋体" w:hAnsi="宋体" w:cs="宋体"/>
          <w:bCs/>
          <w:color w:val="auto"/>
          <w:sz w:val="24"/>
          <w:szCs w:val="24"/>
          <w:highlight w:val="none"/>
        </w:rPr>
        <w:t>中附扫描件。</w:t>
      </w:r>
    </w:p>
    <w:p w14:paraId="6BEDD6D5">
      <w:pPr>
        <w:spacing w:line="360" w:lineRule="auto"/>
        <w:jc w:val="center"/>
        <w:outlineLvl w:val="1"/>
        <w:rPr>
          <w:rFonts w:hint="eastAsia" w:ascii="宋体" w:hAnsi="宋体" w:eastAsia="宋体" w:cs="宋体"/>
          <w:color w:val="auto"/>
          <w:sz w:val="24"/>
          <w:highlight w:val="none"/>
        </w:rPr>
      </w:pPr>
    </w:p>
    <w:p w14:paraId="6DDF5D33">
      <w:pPr>
        <w:spacing w:line="360" w:lineRule="auto"/>
        <w:rPr>
          <w:rFonts w:hint="eastAsia" w:ascii="宋体" w:hAnsi="宋体" w:eastAsia="宋体" w:cs="宋体"/>
          <w:color w:val="auto"/>
          <w:sz w:val="24"/>
          <w:highlight w:val="none"/>
        </w:rPr>
      </w:pPr>
    </w:p>
    <w:p w14:paraId="5D963367">
      <w:pPr>
        <w:spacing w:line="360" w:lineRule="auto"/>
        <w:rPr>
          <w:rFonts w:hint="eastAsia" w:ascii="宋体" w:hAnsi="宋体" w:eastAsia="宋体" w:cs="宋体"/>
          <w:color w:val="auto"/>
          <w:sz w:val="24"/>
          <w:highlight w:val="none"/>
        </w:rPr>
      </w:pPr>
    </w:p>
    <w:p w14:paraId="69E8E48A">
      <w:pPr>
        <w:spacing w:line="360" w:lineRule="auto"/>
        <w:rPr>
          <w:rFonts w:hint="eastAsia" w:ascii="宋体" w:hAnsi="宋体" w:eastAsia="宋体" w:cs="宋体"/>
          <w:color w:val="auto"/>
          <w:sz w:val="24"/>
          <w:highlight w:val="none"/>
        </w:rPr>
      </w:pPr>
    </w:p>
    <w:p w14:paraId="4203D649">
      <w:pPr>
        <w:spacing w:line="360" w:lineRule="auto"/>
        <w:rPr>
          <w:rFonts w:hint="eastAsia" w:ascii="宋体" w:hAnsi="宋体" w:eastAsia="宋体" w:cs="宋体"/>
          <w:color w:val="auto"/>
          <w:sz w:val="24"/>
          <w:highlight w:val="none"/>
        </w:rPr>
      </w:pPr>
    </w:p>
    <w:p w14:paraId="16CE4DBF">
      <w:pPr>
        <w:spacing w:line="360" w:lineRule="auto"/>
        <w:rPr>
          <w:rFonts w:hint="eastAsia" w:ascii="宋体" w:hAnsi="宋体" w:eastAsia="宋体" w:cs="宋体"/>
          <w:color w:val="auto"/>
          <w:sz w:val="24"/>
          <w:highlight w:val="none"/>
        </w:rPr>
      </w:pPr>
    </w:p>
    <w:p w14:paraId="6B8CD8AD">
      <w:pPr>
        <w:spacing w:line="360" w:lineRule="auto"/>
        <w:rPr>
          <w:rFonts w:hint="eastAsia" w:ascii="宋体" w:hAnsi="宋体" w:eastAsia="宋体" w:cs="宋体"/>
          <w:color w:val="auto"/>
          <w:sz w:val="24"/>
          <w:highlight w:val="none"/>
        </w:rPr>
      </w:pPr>
    </w:p>
    <w:p w14:paraId="6E8DA3A5">
      <w:pPr>
        <w:spacing w:line="360" w:lineRule="auto"/>
        <w:rPr>
          <w:rFonts w:hint="eastAsia" w:ascii="宋体" w:hAnsi="宋体" w:eastAsia="宋体" w:cs="宋体"/>
          <w:color w:val="auto"/>
          <w:sz w:val="24"/>
          <w:highlight w:val="none"/>
        </w:rPr>
      </w:pPr>
    </w:p>
    <w:p w14:paraId="6412035D">
      <w:pPr>
        <w:spacing w:line="360" w:lineRule="auto"/>
        <w:rPr>
          <w:rFonts w:hint="eastAsia" w:ascii="宋体" w:hAnsi="宋体" w:eastAsia="宋体" w:cs="宋体"/>
          <w:color w:val="auto"/>
          <w:sz w:val="24"/>
          <w:highlight w:val="none"/>
        </w:rPr>
      </w:pPr>
    </w:p>
    <w:p w14:paraId="40CF3341">
      <w:pPr>
        <w:spacing w:line="360" w:lineRule="auto"/>
        <w:rPr>
          <w:rFonts w:hint="eastAsia" w:ascii="宋体" w:hAnsi="宋体" w:eastAsia="宋体" w:cs="宋体"/>
          <w:color w:val="auto"/>
          <w:sz w:val="24"/>
          <w:highlight w:val="none"/>
        </w:rPr>
      </w:pPr>
    </w:p>
    <w:p w14:paraId="48DE8F84">
      <w:pPr>
        <w:spacing w:line="360" w:lineRule="auto"/>
        <w:rPr>
          <w:rFonts w:hint="eastAsia" w:ascii="宋体" w:hAnsi="宋体" w:eastAsia="宋体" w:cs="宋体"/>
          <w:color w:val="auto"/>
          <w:sz w:val="24"/>
          <w:highlight w:val="none"/>
        </w:rPr>
      </w:pPr>
    </w:p>
    <w:p w14:paraId="259E78F5">
      <w:pPr>
        <w:spacing w:line="360" w:lineRule="auto"/>
        <w:rPr>
          <w:rFonts w:hint="eastAsia" w:ascii="宋体" w:hAnsi="宋体" w:eastAsia="宋体" w:cs="宋体"/>
          <w:color w:val="auto"/>
          <w:sz w:val="24"/>
          <w:highlight w:val="none"/>
        </w:rPr>
      </w:pPr>
    </w:p>
    <w:p w14:paraId="157A714D">
      <w:pPr>
        <w:spacing w:line="360" w:lineRule="auto"/>
        <w:rPr>
          <w:rFonts w:hint="eastAsia" w:ascii="宋体" w:hAnsi="宋体" w:eastAsia="宋体" w:cs="宋体"/>
          <w:color w:val="auto"/>
          <w:sz w:val="24"/>
          <w:highlight w:val="none"/>
        </w:rPr>
      </w:pPr>
    </w:p>
    <w:p w14:paraId="1BDEBFF4">
      <w:pPr>
        <w:spacing w:line="360" w:lineRule="auto"/>
        <w:rPr>
          <w:rFonts w:hint="eastAsia" w:ascii="宋体" w:hAnsi="宋体" w:eastAsia="宋体" w:cs="宋体"/>
          <w:color w:val="auto"/>
          <w:sz w:val="24"/>
          <w:highlight w:val="none"/>
        </w:rPr>
      </w:pPr>
    </w:p>
    <w:p w14:paraId="793F3C30">
      <w:pPr>
        <w:spacing w:line="360" w:lineRule="auto"/>
        <w:rPr>
          <w:rFonts w:hint="eastAsia" w:ascii="宋体" w:hAnsi="宋体" w:eastAsia="宋体" w:cs="宋体"/>
          <w:color w:val="auto"/>
          <w:sz w:val="24"/>
          <w:highlight w:val="none"/>
        </w:rPr>
      </w:pPr>
    </w:p>
    <w:p w14:paraId="7C315D4E">
      <w:pPr>
        <w:spacing w:line="360" w:lineRule="auto"/>
        <w:rPr>
          <w:rFonts w:hint="eastAsia" w:ascii="宋体" w:hAnsi="宋体" w:eastAsia="宋体" w:cs="宋体"/>
          <w:color w:val="auto"/>
          <w:sz w:val="24"/>
          <w:highlight w:val="none"/>
        </w:rPr>
      </w:pPr>
    </w:p>
    <w:p w14:paraId="15DCCE3B">
      <w:pPr>
        <w:spacing w:line="360" w:lineRule="auto"/>
        <w:rPr>
          <w:rFonts w:hint="eastAsia" w:ascii="宋体" w:hAnsi="宋体" w:eastAsia="宋体" w:cs="宋体"/>
          <w:color w:val="auto"/>
          <w:sz w:val="24"/>
          <w:highlight w:val="none"/>
        </w:rPr>
      </w:pPr>
    </w:p>
    <w:p w14:paraId="5AE59411">
      <w:pPr>
        <w:spacing w:line="360" w:lineRule="auto"/>
        <w:rPr>
          <w:rFonts w:hint="eastAsia" w:ascii="宋体" w:hAnsi="宋体" w:eastAsia="宋体" w:cs="宋体"/>
          <w:color w:val="auto"/>
          <w:sz w:val="24"/>
          <w:highlight w:val="none"/>
        </w:rPr>
      </w:pPr>
    </w:p>
    <w:p w14:paraId="64808B02">
      <w:pPr>
        <w:spacing w:line="360" w:lineRule="auto"/>
        <w:rPr>
          <w:rFonts w:hint="eastAsia" w:ascii="宋体" w:hAnsi="宋体" w:eastAsia="宋体" w:cs="宋体"/>
          <w:color w:val="auto"/>
          <w:sz w:val="24"/>
          <w:highlight w:val="none"/>
        </w:rPr>
      </w:pPr>
    </w:p>
    <w:p w14:paraId="592186AF">
      <w:pPr>
        <w:spacing w:line="360" w:lineRule="auto"/>
        <w:rPr>
          <w:rFonts w:hint="eastAsia" w:ascii="宋体" w:hAnsi="宋体" w:eastAsia="宋体" w:cs="宋体"/>
          <w:color w:val="auto"/>
          <w:sz w:val="24"/>
          <w:highlight w:val="none"/>
        </w:rPr>
      </w:pPr>
    </w:p>
    <w:p w14:paraId="27BBC11E">
      <w:pPr>
        <w:spacing w:line="360" w:lineRule="auto"/>
        <w:rPr>
          <w:rFonts w:hint="eastAsia" w:ascii="宋体" w:hAnsi="宋体" w:eastAsia="宋体" w:cs="宋体"/>
          <w:color w:val="auto"/>
          <w:sz w:val="24"/>
          <w:highlight w:val="none"/>
        </w:rPr>
      </w:pPr>
    </w:p>
    <w:p w14:paraId="4E3E9C5B">
      <w:pPr>
        <w:spacing w:line="360" w:lineRule="auto"/>
        <w:rPr>
          <w:rFonts w:hint="eastAsia" w:ascii="宋体" w:hAnsi="宋体" w:eastAsia="宋体" w:cs="宋体"/>
          <w:color w:val="auto"/>
          <w:sz w:val="24"/>
          <w:highlight w:val="none"/>
        </w:rPr>
      </w:pPr>
    </w:p>
    <w:p w14:paraId="1D4F4473">
      <w:pPr>
        <w:spacing w:line="360" w:lineRule="auto"/>
        <w:jc w:val="center"/>
        <w:rPr>
          <w:rFonts w:hint="eastAsia" w:ascii="宋体" w:hAnsi="宋体" w:eastAsia="宋体" w:cs="宋体"/>
          <w:color w:val="auto"/>
          <w:sz w:val="24"/>
          <w:szCs w:val="24"/>
          <w:highlight w:val="none"/>
        </w:rPr>
      </w:pPr>
      <w:r>
        <w:rPr>
          <w:rFonts w:hint="eastAsia" w:ascii="宋体" w:hAnsi="宋体" w:cs="宋体"/>
          <w:b/>
          <w:bCs/>
          <w:color w:val="auto"/>
          <w:sz w:val="32"/>
          <w:szCs w:val="32"/>
          <w:highlight w:val="none"/>
          <w:lang w:val="en-US" w:eastAsia="zh-CN"/>
        </w:rPr>
        <w:t>十七、投标人认为</w:t>
      </w:r>
      <w:r>
        <w:rPr>
          <w:rFonts w:hint="eastAsia" w:ascii="宋体" w:hAnsi="宋体" w:cs="宋体"/>
          <w:b/>
          <w:bCs/>
          <w:color w:val="auto"/>
          <w:sz w:val="32"/>
          <w:szCs w:val="32"/>
          <w:highlight w:val="none"/>
        </w:rPr>
        <w:t>可提交的其他资料</w:t>
      </w:r>
    </w:p>
    <w:p w14:paraId="710636B9">
      <w:pPr>
        <w:jc w:val="center"/>
        <w:outlineLvl w:val="0"/>
        <w:rPr>
          <w:rFonts w:hint="eastAsia" w:ascii="宋体" w:hAnsi="宋体" w:eastAsia="宋体" w:cs="宋体"/>
          <w:color w:val="auto"/>
          <w:sz w:val="24"/>
          <w:szCs w:val="24"/>
          <w:highlight w:val="none"/>
          <w:lang w:val="en-US" w:eastAsia="zh-CN"/>
        </w:rPr>
      </w:pPr>
      <w:bookmarkStart w:id="315" w:name="_Toc25552"/>
      <w:r>
        <w:rPr>
          <w:rFonts w:hint="eastAsia" w:ascii="宋体" w:hAnsi="宋体" w:cs="宋体"/>
          <w:color w:val="auto"/>
          <w:sz w:val="24"/>
          <w:szCs w:val="24"/>
          <w:highlight w:val="none"/>
          <w:lang w:val="en-US" w:eastAsia="zh-CN"/>
        </w:rPr>
        <w:t>（投标人可根据招标文件中评标标准和服务内容及要求，提交有利于投标的相关资料，格式自拟）</w:t>
      </w:r>
      <w:bookmarkEnd w:id="315"/>
    </w:p>
    <w:p w14:paraId="421892C6">
      <w:pPr>
        <w:spacing w:line="360" w:lineRule="auto"/>
        <w:rPr>
          <w:rFonts w:hint="eastAsia" w:ascii="宋体" w:hAnsi="宋体" w:eastAsia="宋体" w:cs="宋体"/>
          <w:color w:val="auto"/>
          <w:sz w:val="24"/>
          <w:highlight w:val="none"/>
        </w:rPr>
      </w:pPr>
    </w:p>
    <w:p w14:paraId="7584DB21">
      <w:pPr>
        <w:spacing w:line="360" w:lineRule="auto"/>
        <w:rPr>
          <w:rFonts w:hint="eastAsia" w:ascii="宋体" w:hAnsi="宋体" w:eastAsia="宋体" w:cs="宋体"/>
          <w:color w:val="auto"/>
          <w:sz w:val="24"/>
          <w:highlight w:val="none"/>
        </w:rPr>
      </w:pPr>
    </w:p>
    <w:p w14:paraId="1140DC41">
      <w:pPr>
        <w:rPr>
          <w:rFonts w:hint="eastAsia" w:ascii="宋体" w:hAnsi="宋体" w:eastAsia="宋体" w:cs="宋体"/>
          <w:color w:val="auto"/>
          <w:highlight w:val="none"/>
        </w:rPr>
      </w:pPr>
    </w:p>
    <w:p w14:paraId="6D2684CE">
      <w:pPr>
        <w:rPr>
          <w:rFonts w:hint="eastAsia" w:ascii="宋体" w:hAnsi="宋体" w:eastAsia="宋体" w:cs="宋体"/>
          <w:color w:val="auto"/>
          <w:highlight w:val="none"/>
        </w:rPr>
      </w:pPr>
    </w:p>
    <w:p w14:paraId="4A2E82D8">
      <w:pPr>
        <w:rPr>
          <w:rFonts w:hint="eastAsia" w:ascii="宋体" w:hAnsi="宋体" w:eastAsia="宋体" w:cs="宋体"/>
          <w:color w:val="auto"/>
          <w:highlight w:val="none"/>
        </w:rPr>
      </w:pPr>
    </w:p>
    <w:p w14:paraId="37C9C82F">
      <w:pPr>
        <w:rPr>
          <w:rFonts w:hint="eastAsia" w:ascii="宋体" w:hAnsi="宋体" w:eastAsia="宋体" w:cs="宋体"/>
          <w:color w:val="auto"/>
          <w:highlight w:val="none"/>
        </w:rPr>
      </w:pPr>
    </w:p>
    <w:sectPr>
      <w:footerReference r:id="rId5" w:type="default"/>
      <w:pgSz w:w="11906" w:h="16838"/>
      <w:pgMar w:top="1270" w:right="1588" w:bottom="1440" w:left="1588" w:header="851" w:footer="992" w:gutter="0"/>
      <w:pgNumType w:fmt="decimal" w:chapStyle="2" w:chapSep="period"/>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72CC3">
    <w:pPr>
      <w:pStyle w:val="28"/>
      <w:jc w:val="center"/>
      <w:rPr>
        <w:rFonts w:ascii="宋体" w:hAnsi="宋体"/>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1B285">
    <w:pPr>
      <w:pStyle w:val="28"/>
      <w:jc w:val="center"/>
      <w:rPr>
        <w:rFonts w:ascii="宋体" w:hAnsi="宋体"/>
        <w:sz w:val="19"/>
        <w:szCs w:val="19"/>
      </w:rPr>
    </w:pPr>
    <w:r>
      <w:rPr>
        <w:sz w:val="19"/>
      </w:rPr>
      <w:pict>
        <v:shape id="_x0000_s1047" o:spid="_x0000_s104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7640395">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A8208">
    <w:pPr>
      <w:pStyle w:val="28"/>
    </w:pPr>
    <w:r>
      <w:rPr>
        <w:sz w:val="18"/>
      </w:rPr>
      <w:pict>
        <v:shape id="_x0000_s1048" o:spid="_x0000_s104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56357F4">
                <w:pPr>
                  <w:pStyle w:val="28"/>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00AE19"/>
    <w:multiLevelType w:val="singleLevel"/>
    <w:tmpl w:val="F500AE19"/>
    <w:lvl w:ilvl="0" w:tentative="0">
      <w:start w:val="1"/>
      <w:numFmt w:val="decimal"/>
      <w:lvlText w:val="%1."/>
      <w:lvlJc w:val="left"/>
      <w:pPr>
        <w:tabs>
          <w:tab w:val="left" w:pos="312"/>
        </w:tabs>
      </w:pPr>
    </w:lvl>
  </w:abstractNum>
  <w:abstractNum w:abstractNumId="1">
    <w:nsid w:val="2EC34EC1"/>
    <w:multiLevelType w:val="singleLevel"/>
    <w:tmpl w:val="2EC34EC1"/>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A3Y2EyY2E1NGU3NTZkOWRlY2NiZTE0YWZiNGIwMGIifQ=="/>
  </w:docVars>
  <w:rsids>
    <w:rsidRoot w:val="00DA3BD5"/>
    <w:rsid w:val="00011597"/>
    <w:rsid w:val="000449BF"/>
    <w:rsid w:val="00060014"/>
    <w:rsid w:val="00093DA8"/>
    <w:rsid w:val="000D10DD"/>
    <w:rsid w:val="000D1C40"/>
    <w:rsid w:val="000E2591"/>
    <w:rsid w:val="000F2147"/>
    <w:rsid w:val="00110D8B"/>
    <w:rsid w:val="00141C87"/>
    <w:rsid w:val="001D1C7E"/>
    <w:rsid w:val="00203F99"/>
    <w:rsid w:val="00230CAF"/>
    <w:rsid w:val="00233276"/>
    <w:rsid w:val="00246DDE"/>
    <w:rsid w:val="00290201"/>
    <w:rsid w:val="00296A84"/>
    <w:rsid w:val="002C3C66"/>
    <w:rsid w:val="002D2969"/>
    <w:rsid w:val="002F7C47"/>
    <w:rsid w:val="003069C7"/>
    <w:rsid w:val="0037726E"/>
    <w:rsid w:val="003B27E1"/>
    <w:rsid w:val="003B5D84"/>
    <w:rsid w:val="00412A79"/>
    <w:rsid w:val="00435892"/>
    <w:rsid w:val="004359BE"/>
    <w:rsid w:val="00484B38"/>
    <w:rsid w:val="004E02CB"/>
    <w:rsid w:val="004F2820"/>
    <w:rsid w:val="004F7A79"/>
    <w:rsid w:val="00504F0B"/>
    <w:rsid w:val="005443F1"/>
    <w:rsid w:val="0058523E"/>
    <w:rsid w:val="005A7E96"/>
    <w:rsid w:val="005B3B53"/>
    <w:rsid w:val="005D6767"/>
    <w:rsid w:val="005E46C5"/>
    <w:rsid w:val="00654608"/>
    <w:rsid w:val="00654883"/>
    <w:rsid w:val="006E2983"/>
    <w:rsid w:val="006F782F"/>
    <w:rsid w:val="007224FC"/>
    <w:rsid w:val="00795042"/>
    <w:rsid w:val="007A7EB3"/>
    <w:rsid w:val="007D45F1"/>
    <w:rsid w:val="008046E7"/>
    <w:rsid w:val="00823ACC"/>
    <w:rsid w:val="00845444"/>
    <w:rsid w:val="00864954"/>
    <w:rsid w:val="008916F3"/>
    <w:rsid w:val="008B4240"/>
    <w:rsid w:val="008D4EE8"/>
    <w:rsid w:val="008E7FB2"/>
    <w:rsid w:val="00901A54"/>
    <w:rsid w:val="00907C0A"/>
    <w:rsid w:val="00934C42"/>
    <w:rsid w:val="00944537"/>
    <w:rsid w:val="0095719B"/>
    <w:rsid w:val="00980E8D"/>
    <w:rsid w:val="00993CA4"/>
    <w:rsid w:val="009A0817"/>
    <w:rsid w:val="009C337D"/>
    <w:rsid w:val="009D7AE4"/>
    <w:rsid w:val="00A1171F"/>
    <w:rsid w:val="00A26C89"/>
    <w:rsid w:val="00A71DA3"/>
    <w:rsid w:val="00A9045F"/>
    <w:rsid w:val="00A95234"/>
    <w:rsid w:val="00AC1E27"/>
    <w:rsid w:val="00AD4569"/>
    <w:rsid w:val="00B175E9"/>
    <w:rsid w:val="00B32474"/>
    <w:rsid w:val="00B54836"/>
    <w:rsid w:val="00B8351B"/>
    <w:rsid w:val="00B914DB"/>
    <w:rsid w:val="00BB4B5A"/>
    <w:rsid w:val="00BC57CD"/>
    <w:rsid w:val="00BE2400"/>
    <w:rsid w:val="00C0140C"/>
    <w:rsid w:val="00C06AA9"/>
    <w:rsid w:val="00C131F6"/>
    <w:rsid w:val="00C73ABB"/>
    <w:rsid w:val="00C77535"/>
    <w:rsid w:val="00C777F3"/>
    <w:rsid w:val="00CA0A32"/>
    <w:rsid w:val="00CA7374"/>
    <w:rsid w:val="00CB39C2"/>
    <w:rsid w:val="00CC02FC"/>
    <w:rsid w:val="00CD7464"/>
    <w:rsid w:val="00CF3752"/>
    <w:rsid w:val="00D03382"/>
    <w:rsid w:val="00D30590"/>
    <w:rsid w:val="00D31E25"/>
    <w:rsid w:val="00D55002"/>
    <w:rsid w:val="00D86ED9"/>
    <w:rsid w:val="00D922D5"/>
    <w:rsid w:val="00DA06C9"/>
    <w:rsid w:val="00DA3BD5"/>
    <w:rsid w:val="00E05CB8"/>
    <w:rsid w:val="00E4434A"/>
    <w:rsid w:val="00EC032E"/>
    <w:rsid w:val="00ED2708"/>
    <w:rsid w:val="00ED7DE3"/>
    <w:rsid w:val="00F14E5F"/>
    <w:rsid w:val="00F27761"/>
    <w:rsid w:val="00FA061C"/>
    <w:rsid w:val="00FA4DF8"/>
    <w:rsid w:val="00FB3FF4"/>
    <w:rsid w:val="012B4701"/>
    <w:rsid w:val="0138534B"/>
    <w:rsid w:val="01401F5A"/>
    <w:rsid w:val="01415CD2"/>
    <w:rsid w:val="01543C57"/>
    <w:rsid w:val="015754F6"/>
    <w:rsid w:val="015E6DD6"/>
    <w:rsid w:val="016A5229"/>
    <w:rsid w:val="016C0FA1"/>
    <w:rsid w:val="017E0CD4"/>
    <w:rsid w:val="018502B5"/>
    <w:rsid w:val="018F6A3E"/>
    <w:rsid w:val="01AE3368"/>
    <w:rsid w:val="01B35FFC"/>
    <w:rsid w:val="01CC1A40"/>
    <w:rsid w:val="01D408F4"/>
    <w:rsid w:val="02216284"/>
    <w:rsid w:val="022E76CE"/>
    <w:rsid w:val="023870D5"/>
    <w:rsid w:val="024535A0"/>
    <w:rsid w:val="024C492F"/>
    <w:rsid w:val="025739FF"/>
    <w:rsid w:val="025A34EF"/>
    <w:rsid w:val="025F0B06"/>
    <w:rsid w:val="026A07CD"/>
    <w:rsid w:val="02714395"/>
    <w:rsid w:val="029A1B3E"/>
    <w:rsid w:val="02A037F9"/>
    <w:rsid w:val="02A66735"/>
    <w:rsid w:val="02BC641D"/>
    <w:rsid w:val="02F54FC6"/>
    <w:rsid w:val="03010C6B"/>
    <w:rsid w:val="031A0341"/>
    <w:rsid w:val="03373831"/>
    <w:rsid w:val="033F4911"/>
    <w:rsid w:val="034A70C0"/>
    <w:rsid w:val="03595555"/>
    <w:rsid w:val="035E2B6B"/>
    <w:rsid w:val="036068E4"/>
    <w:rsid w:val="036A1510"/>
    <w:rsid w:val="036D12B2"/>
    <w:rsid w:val="037D56E7"/>
    <w:rsid w:val="0381685A"/>
    <w:rsid w:val="0394658D"/>
    <w:rsid w:val="03AA7B5F"/>
    <w:rsid w:val="03AC3B74"/>
    <w:rsid w:val="03BC7892"/>
    <w:rsid w:val="03D737BE"/>
    <w:rsid w:val="03E219EE"/>
    <w:rsid w:val="03E70DB3"/>
    <w:rsid w:val="03F37758"/>
    <w:rsid w:val="03F47798"/>
    <w:rsid w:val="040000C7"/>
    <w:rsid w:val="040D00EE"/>
    <w:rsid w:val="04105830"/>
    <w:rsid w:val="042518DB"/>
    <w:rsid w:val="0435562A"/>
    <w:rsid w:val="04695D1A"/>
    <w:rsid w:val="04700DA8"/>
    <w:rsid w:val="047168CE"/>
    <w:rsid w:val="047F2D99"/>
    <w:rsid w:val="04916F64"/>
    <w:rsid w:val="04A22F2C"/>
    <w:rsid w:val="04AD3DAA"/>
    <w:rsid w:val="04B113EE"/>
    <w:rsid w:val="04B137A1"/>
    <w:rsid w:val="04CE5ACF"/>
    <w:rsid w:val="04DC643E"/>
    <w:rsid w:val="04EC02F8"/>
    <w:rsid w:val="04F80D9E"/>
    <w:rsid w:val="050D116A"/>
    <w:rsid w:val="051C4970"/>
    <w:rsid w:val="05263B5D"/>
    <w:rsid w:val="05524952"/>
    <w:rsid w:val="0554693F"/>
    <w:rsid w:val="05615EE5"/>
    <w:rsid w:val="056A57F8"/>
    <w:rsid w:val="056D353A"/>
    <w:rsid w:val="058D6A20"/>
    <w:rsid w:val="05946D18"/>
    <w:rsid w:val="05976809"/>
    <w:rsid w:val="059C4309"/>
    <w:rsid w:val="05B66C8F"/>
    <w:rsid w:val="05D748E0"/>
    <w:rsid w:val="05D9297D"/>
    <w:rsid w:val="05DE1D42"/>
    <w:rsid w:val="0607573C"/>
    <w:rsid w:val="06367DD0"/>
    <w:rsid w:val="06402A94"/>
    <w:rsid w:val="064F49ED"/>
    <w:rsid w:val="06760BE2"/>
    <w:rsid w:val="069E18E6"/>
    <w:rsid w:val="06B70F10"/>
    <w:rsid w:val="06C54B78"/>
    <w:rsid w:val="06C82589"/>
    <w:rsid w:val="06D82C35"/>
    <w:rsid w:val="06DE46EF"/>
    <w:rsid w:val="06DF0E5B"/>
    <w:rsid w:val="06E31D05"/>
    <w:rsid w:val="072D567C"/>
    <w:rsid w:val="073126B3"/>
    <w:rsid w:val="073C31C4"/>
    <w:rsid w:val="073F1F2E"/>
    <w:rsid w:val="079923C4"/>
    <w:rsid w:val="07DE24CD"/>
    <w:rsid w:val="081449CC"/>
    <w:rsid w:val="08253C58"/>
    <w:rsid w:val="08256F20"/>
    <w:rsid w:val="082F2D28"/>
    <w:rsid w:val="082F4AD6"/>
    <w:rsid w:val="084E1401"/>
    <w:rsid w:val="088E3EF3"/>
    <w:rsid w:val="08935065"/>
    <w:rsid w:val="08A116F6"/>
    <w:rsid w:val="08A13C26"/>
    <w:rsid w:val="08B1198F"/>
    <w:rsid w:val="08D12032"/>
    <w:rsid w:val="08D65C03"/>
    <w:rsid w:val="08EE04EE"/>
    <w:rsid w:val="09041F23"/>
    <w:rsid w:val="09060634"/>
    <w:rsid w:val="09093579"/>
    <w:rsid w:val="092959CA"/>
    <w:rsid w:val="092C38FD"/>
    <w:rsid w:val="09320D22"/>
    <w:rsid w:val="09594501"/>
    <w:rsid w:val="097A6225"/>
    <w:rsid w:val="099C619C"/>
    <w:rsid w:val="09A339CE"/>
    <w:rsid w:val="09B2776D"/>
    <w:rsid w:val="09BF1E8A"/>
    <w:rsid w:val="09CB6A81"/>
    <w:rsid w:val="09E638BB"/>
    <w:rsid w:val="09EA6F07"/>
    <w:rsid w:val="0A00497C"/>
    <w:rsid w:val="0A0C1573"/>
    <w:rsid w:val="0A334D52"/>
    <w:rsid w:val="0A7766AB"/>
    <w:rsid w:val="0A8235E3"/>
    <w:rsid w:val="0AAA2B3A"/>
    <w:rsid w:val="0AB80DB3"/>
    <w:rsid w:val="0AD100C7"/>
    <w:rsid w:val="0AD16319"/>
    <w:rsid w:val="0AFC15E8"/>
    <w:rsid w:val="0B0054D2"/>
    <w:rsid w:val="0B065FC2"/>
    <w:rsid w:val="0B071D3B"/>
    <w:rsid w:val="0B08483E"/>
    <w:rsid w:val="0B1C3A38"/>
    <w:rsid w:val="0B372378"/>
    <w:rsid w:val="0B6158EF"/>
    <w:rsid w:val="0B7A69B0"/>
    <w:rsid w:val="0B7F222D"/>
    <w:rsid w:val="0B845139"/>
    <w:rsid w:val="0B9F6417"/>
    <w:rsid w:val="0BA650B0"/>
    <w:rsid w:val="0BCE748D"/>
    <w:rsid w:val="0BD31C1D"/>
    <w:rsid w:val="0BD87233"/>
    <w:rsid w:val="0BDE0CED"/>
    <w:rsid w:val="0BE44893"/>
    <w:rsid w:val="0BEF6A57"/>
    <w:rsid w:val="0C0B13B7"/>
    <w:rsid w:val="0C152235"/>
    <w:rsid w:val="0C346B5F"/>
    <w:rsid w:val="0C5965C6"/>
    <w:rsid w:val="0C8C0749"/>
    <w:rsid w:val="0C9456E7"/>
    <w:rsid w:val="0CB437FC"/>
    <w:rsid w:val="0CDA7707"/>
    <w:rsid w:val="0CDE6ACB"/>
    <w:rsid w:val="0D0629AE"/>
    <w:rsid w:val="0D0E115E"/>
    <w:rsid w:val="0D1D75F3"/>
    <w:rsid w:val="0D2F252D"/>
    <w:rsid w:val="0D45332F"/>
    <w:rsid w:val="0D6B65B1"/>
    <w:rsid w:val="0D6E7E4F"/>
    <w:rsid w:val="0D7C6A10"/>
    <w:rsid w:val="0D9F502D"/>
    <w:rsid w:val="0DA41AC3"/>
    <w:rsid w:val="0DD35D8B"/>
    <w:rsid w:val="0DEB14A0"/>
    <w:rsid w:val="0DF26CD2"/>
    <w:rsid w:val="0E060087"/>
    <w:rsid w:val="0E1529C0"/>
    <w:rsid w:val="0E230C39"/>
    <w:rsid w:val="0E440BB0"/>
    <w:rsid w:val="0E4868F2"/>
    <w:rsid w:val="0E4E7EF1"/>
    <w:rsid w:val="0E680D42"/>
    <w:rsid w:val="0E7E366C"/>
    <w:rsid w:val="0E8D07A9"/>
    <w:rsid w:val="0E9953A0"/>
    <w:rsid w:val="0E9E29B6"/>
    <w:rsid w:val="0EBA2E73"/>
    <w:rsid w:val="0EBD2E3C"/>
    <w:rsid w:val="0EC80724"/>
    <w:rsid w:val="0ED63EFE"/>
    <w:rsid w:val="0EEA1757"/>
    <w:rsid w:val="0EEF6D6E"/>
    <w:rsid w:val="0F20786F"/>
    <w:rsid w:val="0F333798"/>
    <w:rsid w:val="0F3D3F7D"/>
    <w:rsid w:val="0F403A6D"/>
    <w:rsid w:val="0F615EBD"/>
    <w:rsid w:val="0F64150A"/>
    <w:rsid w:val="0F7D6A6F"/>
    <w:rsid w:val="0F7F00F1"/>
    <w:rsid w:val="0F957915"/>
    <w:rsid w:val="0FA7589A"/>
    <w:rsid w:val="0FB57FB7"/>
    <w:rsid w:val="0FBF4992"/>
    <w:rsid w:val="0FE4264A"/>
    <w:rsid w:val="0FFA00C0"/>
    <w:rsid w:val="10022AD1"/>
    <w:rsid w:val="100D1BA1"/>
    <w:rsid w:val="10234F21"/>
    <w:rsid w:val="102869DB"/>
    <w:rsid w:val="103A7F8B"/>
    <w:rsid w:val="103B4960"/>
    <w:rsid w:val="10437371"/>
    <w:rsid w:val="10480E2B"/>
    <w:rsid w:val="108F6A5A"/>
    <w:rsid w:val="109A0F5B"/>
    <w:rsid w:val="10A36062"/>
    <w:rsid w:val="10B22749"/>
    <w:rsid w:val="10B62239"/>
    <w:rsid w:val="10BB1A44"/>
    <w:rsid w:val="10C761F4"/>
    <w:rsid w:val="10CA1840"/>
    <w:rsid w:val="10CB4558"/>
    <w:rsid w:val="10F906A4"/>
    <w:rsid w:val="10FE773C"/>
    <w:rsid w:val="110E5BD1"/>
    <w:rsid w:val="112371A2"/>
    <w:rsid w:val="11366ED6"/>
    <w:rsid w:val="11382C4E"/>
    <w:rsid w:val="11423ACC"/>
    <w:rsid w:val="114E2471"/>
    <w:rsid w:val="114F61E9"/>
    <w:rsid w:val="115A7068"/>
    <w:rsid w:val="115C2EBC"/>
    <w:rsid w:val="11665BF2"/>
    <w:rsid w:val="116E0688"/>
    <w:rsid w:val="117B0D8C"/>
    <w:rsid w:val="117D2D78"/>
    <w:rsid w:val="11A007F3"/>
    <w:rsid w:val="11B12A00"/>
    <w:rsid w:val="11B97751"/>
    <w:rsid w:val="11D02E86"/>
    <w:rsid w:val="11E903EC"/>
    <w:rsid w:val="11F72B09"/>
    <w:rsid w:val="120D40DA"/>
    <w:rsid w:val="121F796A"/>
    <w:rsid w:val="124440AD"/>
    <w:rsid w:val="12483BB9"/>
    <w:rsid w:val="12502219"/>
    <w:rsid w:val="12846C10"/>
    <w:rsid w:val="12883761"/>
    <w:rsid w:val="12B64F8D"/>
    <w:rsid w:val="12DB5F87"/>
    <w:rsid w:val="12DF4FF2"/>
    <w:rsid w:val="12F42BA4"/>
    <w:rsid w:val="12F928B1"/>
    <w:rsid w:val="130B7EEE"/>
    <w:rsid w:val="131B5F6A"/>
    <w:rsid w:val="131E5E73"/>
    <w:rsid w:val="132316DC"/>
    <w:rsid w:val="133D454B"/>
    <w:rsid w:val="13531EC0"/>
    <w:rsid w:val="13586C56"/>
    <w:rsid w:val="135B70C7"/>
    <w:rsid w:val="1360648C"/>
    <w:rsid w:val="13675A6C"/>
    <w:rsid w:val="136A2E67"/>
    <w:rsid w:val="13BD034E"/>
    <w:rsid w:val="13DF413D"/>
    <w:rsid w:val="13F866C4"/>
    <w:rsid w:val="13FC4407"/>
    <w:rsid w:val="14166102"/>
    <w:rsid w:val="141837C0"/>
    <w:rsid w:val="1441006B"/>
    <w:rsid w:val="144813FA"/>
    <w:rsid w:val="144933C4"/>
    <w:rsid w:val="14496F20"/>
    <w:rsid w:val="145D29CB"/>
    <w:rsid w:val="146C3A9E"/>
    <w:rsid w:val="14755F67"/>
    <w:rsid w:val="147811E8"/>
    <w:rsid w:val="1481490C"/>
    <w:rsid w:val="1497412F"/>
    <w:rsid w:val="14975EDD"/>
    <w:rsid w:val="14A45A4F"/>
    <w:rsid w:val="14A95C11"/>
    <w:rsid w:val="14B940A6"/>
    <w:rsid w:val="150115A9"/>
    <w:rsid w:val="15363948"/>
    <w:rsid w:val="155A139E"/>
    <w:rsid w:val="158346B4"/>
    <w:rsid w:val="15A5287C"/>
    <w:rsid w:val="15A56279"/>
    <w:rsid w:val="15AE1730"/>
    <w:rsid w:val="15B34F99"/>
    <w:rsid w:val="15B35A87"/>
    <w:rsid w:val="15BD5E17"/>
    <w:rsid w:val="15D60C87"/>
    <w:rsid w:val="15DE2644"/>
    <w:rsid w:val="15E92769"/>
    <w:rsid w:val="15EA028F"/>
    <w:rsid w:val="15ED1E4B"/>
    <w:rsid w:val="15FD6214"/>
    <w:rsid w:val="161B669A"/>
    <w:rsid w:val="161D2412"/>
    <w:rsid w:val="16534086"/>
    <w:rsid w:val="16573B76"/>
    <w:rsid w:val="167F5188"/>
    <w:rsid w:val="1686445B"/>
    <w:rsid w:val="168E3310"/>
    <w:rsid w:val="169C63D3"/>
    <w:rsid w:val="16BC2FBC"/>
    <w:rsid w:val="16C90CFD"/>
    <w:rsid w:val="16F94C2D"/>
    <w:rsid w:val="170B2BB3"/>
    <w:rsid w:val="17397720"/>
    <w:rsid w:val="175F2179"/>
    <w:rsid w:val="17606A5A"/>
    <w:rsid w:val="17742506"/>
    <w:rsid w:val="178169D1"/>
    <w:rsid w:val="17884203"/>
    <w:rsid w:val="178A795A"/>
    <w:rsid w:val="17C57205"/>
    <w:rsid w:val="17D82A95"/>
    <w:rsid w:val="17DB4333"/>
    <w:rsid w:val="17E515B5"/>
    <w:rsid w:val="17E53404"/>
    <w:rsid w:val="182B350C"/>
    <w:rsid w:val="182E6B59"/>
    <w:rsid w:val="18316649"/>
    <w:rsid w:val="183C74C7"/>
    <w:rsid w:val="183D4FEE"/>
    <w:rsid w:val="1844012A"/>
    <w:rsid w:val="185370D9"/>
    <w:rsid w:val="18561C0B"/>
    <w:rsid w:val="186840E7"/>
    <w:rsid w:val="187C3D68"/>
    <w:rsid w:val="1881137E"/>
    <w:rsid w:val="189E3CDE"/>
    <w:rsid w:val="18CB39A2"/>
    <w:rsid w:val="18ED2570"/>
    <w:rsid w:val="18F9261C"/>
    <w:rsid w:val="18FC0A05"/>
    <w:rsid w:val="191E4E1F"/>
    <w:rsid w:val="192F6D69"/>
    <w:rsid w:val="19510D51"/>
    <w:rsid w:val="19550115"/>
    <w:rsid w:val="195645B9"/>
    <w:rsid w:val="195919B3"/>
    <w:rsid w:val="196071E6"/>
    <w:rsid w:val="196547FC"/>
    <w:rsid w:val="19924EC5"/>
    <w:rsid w:val="1997072D"/>
    <w:rsid w:val="19C77265"/>
    <w:rsid w:val="19E26EA3"/>
    <w:rsid w:val="19EE2A43"/>
    <w:rsid w:val="1A246465"/>
    <w:rsid w:val="1A2516A8"/>
    <w:rsid w:val="1A4C776A"/>
    <w:rsid w:val="1A750A6F"/>
    <w:rsid w:val="1A7D3DC7"/>
    <w:rsid w:val="1A7F369B"/>
    <w:rsid w:val="1A967D99"/>
    <w:rsid w:val="1A9B5FFB"/>
    <w:rsid w:val="1A9C1E3E"/>
    <w:rsid w:val="1A9C424D"/>
    <w:rsid w:val="1ADC464B"/>
    <w:rsid w:val="1AE77ACD"/>
    <w:rsid w:val="1AF57E02"/>
    <w:rsid w:val="1AF8068D"/>
    <w:rsid w:val="1AFA7273"/>
    <w:rsid w:val="1B154000"/>
    <w:rsid w:val="1B1C670C"/>
    <w:rsid w:val="1B210BF7"/>
    <w:rsid w:val="1B283D33"/>
    <w:rsid w:val="1B2E0C1E"/>
    <w:rsid w:val="1B3C77DE"/>
    <w:rsid w:val="1B3E5305"/>
    <w:rsid w:val="1B8C2514"/>
    <w:rsid w:val="1B903686"/>
    <w:rsid w:val="1B990B12"/>
    <w:rsid w:val="1B9B4505"/>
    <w:rsid w:val="1B9E2247"/>
    <w:rsid w:val="1BA122C3"/>
    <w:rsid w:val="1BAD5FE6"/>
    <w:rsid w:val="1BC03F6C"/>
    <w:rsid w:val="1BD45C69"/>
    <w:rsid w:val="1BEE6D2B"/>
    <w:rsid w:val="1BF14125"/>
    <w:rsid w:val="1BFB1448"/>
    <w:rsid w:val="1C053422"/>
    <w:rsid w:val="1C0C0F5F"/>
    <w:rsid w:val="1C16002F"/>
    <w:rsid w:val="1C244D13"/>
    <w:rsid w:val="1C250273"/>
    <w:rsid w:val="1C2C7853"/>
    <w:rsid w:val="1C2E35CB"/>
    <w:rsid w:val="1C3A1F70"/>
    <w:rsid w:val="1C44694B"/>
    <w:rsid w:val="1C4701E9"/>
    <w:rsid w:val="1C4E7F9D"/>
    <w:rsid w:val="1C747071"/>
    <w:rsid w:val="1CB6582C"/>
    <w:rsid w:val="1CC21F65"/>
    <w:rsid w:val="1CE343B6"/>
    <w:rsid w:val="1CE43C8A"/>
    <w:rsid w:val="1D0E6F59"/>
    <w:rsid w:val="1D1125A5"/>
    <w:rsid w:val="1D4B5AB7"/>
    <w:rsid w:val="1D4D182F"/>
    <w:rsid w:val="1D4D5CD3"/>
    <w:rsid w:val="1D632E00"/>
    <w:rsid w:val="1D646B79"/>
    <w:rsid w:val="1D6A0633"/>
    <w:rsid w:val="1D7B2840"/>
    <w:rsid w:val="1D8611E5"/>
    <w:rsid w:val="1DA65088"/>
    <w:rsid w:val="1DB21FDA"/>
    <w:rsid w:val="1DB45D52"/>
    <w:rsid w:val="1DDD0428"/>
    <w:rsid w:val="1DDF4EF5"/>
    <w:rsid w:val="1E004AF3"/>
    <w:rsid w:val="1E32050F"/>
    <w:rsid w:val="1E33272A"/>
    <w:rsid w:val="1E3B3D7D"/>
    <w:rsid w:val="1E5135A1"/>
    <w:rsid w:val="1E560BB7"/>
    <w:rsid w:val="1E593913"/>
    <w:rsid w:val="1E5F5CBE"/>
    <w:rsid w:val="1E6901AA"/>
    <w:rsid w:val="1E6C3F37"/>
    <w:rsid w:val="1E733517"/>
    <w:rsid w:val="1E7554E1"/>
    <w:rsid w:val="1E763539"/>
    <w:rsid w:val="1E7E3C6A"/>
    <w:rsid w:val="1E933BB9"/>
    <w:rsid w:val="1EAE09F3"/>
    <w:rsid w:val="1EBA7398"/>
    <w:rsid w:val="1F1620F4"/>
    <w:rsid w:val="1F1F544D"/>
    <w:rsid w:val="1F262D0B"/>
    <w:rsid w:val="1F29007A"/>
    <w:rsid w:val="1F330EF8"/>
    <w:rsid w:val="1F3F5AEF"/>
    <w:rsid w:val="1F451C2B"/>
    <w:rsid w:val="1F6D440A"/>
    <w:rsid w:val="1F7D0CD8"/>
    <w:rsid w:val="1F8359DC"/>
    <w:rsid w:val="1FC102B2"/>
    <w:rsid w:val="1FC61D6D"/>
    <w:rsid w:val="1FCB2EDF"/>
    <w:rsid w:val="1FD74FEB"/>
    <w:rsid w:val="20286583"/>
    <w:rsid w:val="202B1BD0"/>
    <w:rsid w:val="203B62B7"/>
    <w:rsid w:val="205B24B5"/>
    <w:rsid w:val="20624337"/>
    <w:rsid w:val="208D63E6"/>
    <w:rsid w:val="209239FD"/>
    <w:rsid w:val="20A569DB"/>
    <w:rsid w:val="20B120D5"/>
    <w:rsid w:val="20B83463"/>
    <w:rsid w:val="20C938C2"/>
    <w:rsid w:val="20D869EA"/>
    <w:rsid w:val="20D9162C"/>
    <w:rsid w:val="20EB1A8B"/>
    <w:rsid w:val="210B5C89"/>
    <w:rsid w:val="21274A8D"/>
    <w:rsid w:val="21611D4D"/>
    <w:rsid w:val="21872CBB"/>
    <w:rsid w:val="21A25EC1"/>
    <w:rsid w:val="21BA575C"/>
    <w:rsid w:val="22192627"/>
    <w:rsid w:val="222D1C2F"/>
    <w:rsid w:val="225E44DE"/>
    <w:rsid w:val="228026A7"/>
    <w:rsid w:val="22863D23"/>
    <w:rsid w:val="228727F7"/>
    <w:rsid w:val="22AF0896"/>
    <w:rsid w:val="22C02AA3"/>
    <w:rsid w:val="22CF0F38"/>
    <w:rsid w:val="22CF32DC"/>
    <w:rsid w:val="22FB7F7F"/>
    <w:rsid w:val="23005595"/>
    <w:rsid w:val="231150AD"/>
    <w:rsid w:val="23270D74"/>
    <w:rsid w:val="23272C1E"/>
    <w:rsid w:val="2342795C"/>
    <w:rsid w:val="23445482"/>
    <w:rsid w:val="23452FA8"/>
    <w:rsid w:val="2367773E"/>
    <w:rsid w:val="2381420E"/>
    <w:rsid w:val="23B75C54"/>
    <w:rsid w:val="23D04F68"/>
    <w:rsid w:val="23D83E1C"/>
    <w:rsid w:val="23DA1943"/>
    <w:rsid w:val="23DB4E55"/>
    <w:rsid w:val="23EA6BEB"/>
    <w:rsid w:val="23F549CE"/>
    <w:rsid w:val="23F944BF"/>
    <w:rsid w:val="2406098A"/>
    <w:rsid w:val="24080C27"/>
    <w:rsid w:val="241D5CF9"/>
    <w:rsid w:val="24257DB3"/>
    <w:rsid w:val="24303C58"/>
    <w:rsid w:val="2432352D"/>
    <w:rsid w:val="243F3E9B"/>
    <w:rsid w:val="24594F5D"/>
    <w:rsid w:val="246A53BC"/>
    <w:rsid w:val="248144B4"/>
    <w:rsid w:val="248E110E"/>
    <w:rsid w:val="249146F7"/>
    <w:rsid w:val="24CD14A7"/>
    <w:rsid w:val="24D82326"/>
    <w:rsid w:val="24E54A43"/>
    <w:rsid w:val="24F35C62"/>
    <w:rsid w:val="24FD2F00"/>
    <w:rsid w:val="250550E5"/>
    <w:rsid w:val="25056E93"/>
    <w:rsid w:val="251F561F"/>
    <w:rsid w:val="25253091"/>
    <w:rsid w:val="252D7C9D"/>
    <w:rsid w:val="254A38A3"/>
    <w:rsid w:val="254A5A35"/>
    <w:rsid w:val="25535E50"/>
    <w:rsid w:val="25583467"/>
    <w:rsid w:val="2584600A"/>
    <w:rsid w:val="258C1362"/>
    <w:rsid w:val="258E0C37"/>
    <w:rsid w:val="25AC5561"/>
    <w:rsid w:val="25FF7D86"/>
    <w:rsid w:val="263306B3"/>
    <w:rsid w:val="26355556"/>
    <w:rsid w:val="26596C7B"/>
    <w:rsid w:val="266100F9"/>
    <w:rsid w:val="26655E3B"/>
    <w:rsid w:val="26663961"/>
    <w:rsid w:val="26681488"/>
    <w:rsid w:val="266D6A9E"/>
    <w:rsid w:val="267A11BB"/>
    <w:rsid w:val="26971D6D"/>
    <w:rsid w:val="26A10E3D"/>
    <w:rsid w:val="26BE72FA"/>
    <w:rsid w:val="26C1503C"/>
    <w:rsid w:val="26C62652"/>
    <w:rsid w:val="270B2978"/>
    <w:rsid w:val="270E64D3"/>
    <w:rsid w:val="270F224B"/>
    <w:rsid w:val="271C73FD"/>
    <w:rsid w:val="27231852"/>
    <w:rsid w:val="27271343"/>
    <w:rsid w:val="274E2D73"/>
    <w:rsid w:val="27532138"/>
    <w:rsid w:val="277072C8"/>
    <w:rsid w:val="279664C8"/>
    <w:rsid w:val="279B3ADF"/>
    <w:rsid w:val="27AA5AD0"/>
    <w:rsid w:val="27B72E2A"/>
    <w:rsid w:val="27BF57DB"/>
    <w:rsid w:val="27C26E91"/>
    <w:rsid w:val="27D72D69"/>
    <w:rsid w:val="27E014F2"/>
    <w:rsid w:val="27E15995"/>
    <w:rsid w:val="27E20E2A"/>
    <w:rsid w:val="27E40050"/>
    <w:rsid w:val="27E64D5A"/>
    <w:rsid w:val="27FC218D"/>
    <w:rsid w:val="27FC457D"/>
    <w:rsid w:val="280451E0"/>
    <w:rsid w:val="28277120"/>
    <w:rsid w:val="284A744F"/>
    <w:rsid w:val="28771E56"/>
    <w:rsid w:val="28812CD5"/>
    <w:rsid w:val="289A78F2"/>
    <w:rsid w:val="28A051C1"/>
    <w:rsid w:val="28AB6F01"/>
    <w:rsid w:val="28B135BA"/>
    <w:rsid w:val="28B9421C"/>
    <w:rsid w:val="28BC68C6"/>
    <w:rsid w:val="28C8445F"/>
    <w:rsid w:val="28D41056"/>
    <w:rsid w:val="28F3360A"/>
    <w:rsid w:val="29150052"/>
    <w:rsid w:val="292878FB"/>
    <w:rsid w:val="2940049A"/>
    <w:rsid w:val="29634188"/>
    <w:rsid w:val="29802F8C"/>
    <w:rsid w:val="2987431B"/>
    <w:rsid w:val="29930F11"/>
    <w:rsid w:val="29954C89"/>
    <w:rsid w:val="29C56BF1"/>
    <w:rsid w:val="29C94933"/>
    <w:rsid w:val="29D55086"/>
    <w:rsid w:val="29F00112"/>
    <w:rsid w:val="29F04E4A"/>
    <w:rsid w:val="29F23E8A"/>
    <w:rsid w:val="29FD638B"/>
    <w:rsid w:val="2A1B4A63"/>
    <w:rsid w:val="2A3C5105"/>
    <w:rsid w:val="2A4C2E6E"/>
    <w:rsid w:val="2A662182"/>
    <w:rsid w:val="2A697EC4"/>
    <w:rsid w:val="2A952A67"/>
    <w:rsid w:val="2A9A007E"/>
    <w:rsid w:val="2A9A1E2C"/>
    <w:rsid w:val="2ABF1892"/>
    <w:rsid w:val="2AD33DA0"/>
    <w:rsid w:val="2ADB2B70"/>
    <w:rsid w:val="2ADF3570"/>
    <w:rsid w:val="2AE82B97"/>
    <w:rsid w:val="2AED3710"/>
    <w:rsid w:val="2AF94DA4"/>
    <w:rsid w:val="2B110340"/>
    <w:rsid w:val="2B193698"/>
    <w:rsid w:val="2B465B0F"/>
    <w:rsid w:val="2B4C1378"/>
    <w:rsid w:val="2B4C581C"/>
    <w:rsid w:val="2B4F2C16"/>
    <w:rsid w:val="2B717030"/>
    <w:rsid w:val="2B7E174D"/>
    <w:rsid w:val="2B824D9A"/>
    <w:rsid w:val="2B9702AC"/>
    <w:rsid w:val="2B9D7E25"/>
    <w:rsid w:val="2BC6778E"/>
    <w:rsid w:val="2BCA04EF"/>
    <w:rsid w:val="2BF01901"/>
    <w:rsid w:val="2BF612E4"/>
    <w:rsid w:val="2C02412C"/>
    <w:rsid w:val="2C153E60"/>
    <w:rsid w:val="2C2E4F21"/>
    <w:rsid w:val="2C3C1749"/>
    <w:rsid w:val="2C3D4345"/>
    <w:rsid w:val="2C3F2C8B"/>
    <w:rsid w:val="2C5F332D"/>
    <w:rsid w:val="2C610E53"/>
    <w:rsid w:val="2C70553A"/>
    <w:rsid w:val="2C7768C8"/>
    <w:rsid w:val="2C932FD6"/>
    <w:rsid w:val="2C934D84"/>
    <w:rsid w:val="2C974E26"/>
    <w:rsid w:val="2C9E07BF"/>
    <w:rsid w:val="2CA23219"/>
    <w:rsid w:val="2CB03B88"/>
    <w:rsid w:val="2CB07AED"/>
    <w:rsid w:val="2CB84160"/>
    <w:rsid w:val="2CB847EB"/>
    <w:rsid w:val="2CC74563"/>
    <w:rsid w:val="2CC80ED2"/>
    <w:rsid w:val="2CDC497D"/>
    <w:rsid w:val="2D053ED4"/>
    <w:rsid w:val="2D1A2C6D"/>
    <w:rsid w:val="2D1F6673"/>
    <w:rsid w:val="2D485B6F"/>
    <w:rsid w:val="2D8A6187"/>
    <w:rsid w:val="2D99461C"/>
    <w:rsid w:val="2D9C5EBB"/>
    <w:rsid w:val="2DA05D96"/>
    <w:rsid w:val="2DB15E0A"/>
    <w:rsid w:val="2DB9081B"/>
    <w:rsid w:val="2DD6761F"/>
    <w:rsid w:val="2E067CE7"/>
    <w:rsid w:val="2E161FE6"/>
    <w:rsid w:val="2E1B14D5"/>
    <w:rsid w:val="2E1D349F"/>
    <w:rsid w:val="2E3F3416"/>
    <w:rsid w:val="2E496043"/>
    <w:rsid w:val="2E4A2626"/>
    <w:rsid w:val="2E4C78E1"/>
    <w:rsid w:val="2E4E5407"/>
    <w:rsid w:val="2E5844D8"/>
    <w:rsid w:val="2E656033"/>
    <w:rsid w:val="2E7E4D3A"/>
    <w:rsid w:val="2E81758A"/>
    <w:rsid w:val="2E864BA1"/>
    <w:rsid w:val="2E9F3EB4"/>
    <w:rsid w:val="2EA25753"/>
    <w:rsid w:val="2EA96AE1"/>
    <w:rsid w:val="2EB3170E"/>
    <w:rsid w:val="2EBF00B3"/>
    <w:rsid w:val="2EC37F09"/>
    <w:rsid w:val="2ECB4CA9"/>
    <w:rsid w:val="2ED00512"/>
    <w:rsid w:val="2EDE49DD"/>
    <w:rsid w:val="2EEF163E"/>
    <w:rsid w:val="2EEF6BEA"/>
    <w:rsid w:val="2F261EE0"/>
    <w:rsid w:val="2F2820FC"/>
    <w:rsid w:val="2F2B399A"/>
    <w:rsid w:val="2F3F109E"/>
    <w:rsid w:val="2F544C9F"/>
    <w:rsid w:val="2F6F420C"/>
    <w:rsid w:val="2F74733D"/>
    <w:rsid w:val="2F77273B"/>
    <w:rsid w:val="2F901C22"/>
    <w:rsid w:val="2FA31782"/>
    <w:rsid w:val="2FA379D4"/>
    <w:rsid w:val="2FAD43AF"/>
    <w:rsid w:val="2FB7273C"/>
    <w:rsid w:val="2FCA31B3"/>
    <w:rsid w:val="3002294D"/>
    <w:rsid w:val="30077F63"/>
    <w:rsid w:val="30142680"/>
    <w:rsid w:val="301D32E3"/>
    <w:rsid w:val="304614C0"/>
    <w:rsid w:val="30640F12"/>
    <w:rsid w:val="30662EDC"/>
    <w:rsid w:val="30670F75"/>
    <w:rsid w:val="30823A8E"/>
    <w:rsid w:val="30B55C11"/>
    <w:rsid w:val="30D2231F"/>
    <w:rsid w:val="30E31097"/>
    <w:rsid w:val="30EA6A9E"/>
    <w:rsid w:val="30EB518F"/>
    <w:rsid w:val="310B75DF"/>
    <w:rsid w:val="310E0E7D"/>
    <w:rsid w:val="312468F3"/>
    <w:rsid w:val="313A1C72"/>
    <w:rsid w:val="313F18A3"/>
    <w:rsid w:val="315E0057"/>
    <w:rsid w:val="315F16D9"/>
    <w:rsid w:val="3172765E"/>
    <w:rsid w:val="31752ADB"/>
    <w:rsid w:val="317E0A37"/>
    <w:rsid w:val="318B24CE"/>
    <w:rsid w:val="3192385D"/>
    <w:rsid w:val="31BE28A4"/>
    <w:rsid w:val="31E340B8"/>
    <w:rsid w:val="31F44517"/>
    <w:rsid w:val="32087FC3"/>
    <w:rsid w:val="321E3342"/>
    <w:rsid w:val="323070B7"/>
    <w:rsid w:val="323E5792"/>
    <w:rsid w:val="324C2991"/>
    <w:rsid w:val="326660F9"/>
    <w:rsid w:val="32690A61"/>
    <w:rsid w:val="32696CB3"/>
    <w:rsid w:val="3273368E"/>
    <w:rsid w:val="328B4E7C"/>
    <w:rsid w:val="329655CE"/>
    <w:rsid w:val="32A001FB"/>
    <w:rsid w:val="32BD1786"/>
    <w:rsid w:val="32C75788"/>
    <w:rsid w:val="32E225C2"/>
    <w:rsid w:val="330947B1"/>
    <w:rsid w:val="332A0C92"/>
    <w:rsid w:val="334868C9"/>
    <w:rsid w:val="335334BF"/>
    <w:rsid w:val="33577AAC"/>
    <w:rsid w:val="33631954"/>
    <w:rsid w:val="337376BE"/>
    <w:rsid w:val="33835B53"/>
    <w:rsid w:val="338673F1"/>
    <w:rsid w:val="339E473B"/>
    <w:rsid w:val="33A501AB"/>
    <w:rsid w:val="33B57CD6"/>
    <w:rsid w:val="33CD6DCE"/>
    <w:rsid w:val="33D00BC2"/>
    <w:rsid w:val="33E04D53"/>
    <w:rsid w:val="33F71FE3"/>
    <w:rsid w:val="340A32F6"/>
    <w:rsid w:val="341E7629"/>
    <w:rsid w:val="343B467F"/>
    <w:rsid w:val="343C3BE2"/>
    <w:rsid w:val="3464138B"/>
    <w:rsid w:val="3491354B"/>
    <w:rsid w:val="34B47F8E"/>
    <w:rsid w:val="34B75266"/>
    <w:rsid w:val="34C9767B"/>
    <w:rsid w:val="34F565DC"/>
    <w:rsid w:val="3522139B"/>
    <w:rsid w:val="35305866"/>
    <w:rsid w:val="353115DE"/>
    <w:rsid w:val="35337105"/>
    <w:rsid w:val="35367F65"/>
    <w:rsid w:val="35380BBF"/>
    <w:rsid w:val="35502895"/>
    <w:rsid w:val="355377A7"/>
    <w:rsid w:val="35663BF3"/>
    <w:rsid w:val="3569521C"/>
    <w:rsid w:val="359C73A0"/>
    <w:rsid w:val="35B00755"/>
    <w:rsid w:val="35C16E06"/>
    <w:rsid w:val="35CD7559"/>
    <w:rsid w:val="35CF507F"/>
    <w:rsid w:val="36317AE8"/>
    <w:rsid w:val="363C5620"/>
    <w:rsid w:val="36462E68"/>
    <w:rsid w:val="364D2448"/>
    <w:rsid w:val="36501E81"/>
    <w:rsid w:val="365361F7"/>
    <w:rsid w:val="36617CA1"/>
    <w:rsid w:val="36767BF1"/>
    <w:rsid w:val="367E6AA5"/>
    <w:rsid w:val="367F16A1"/>
    <w:rsid w:val="36985DB9"/>
    <w:rsid w:val="369D1D15"/>
    <w:rsid w:val="36AE738B"/>
    <w:rsid w:val="36C7044C"/>
    <w:rsid w:val="36CA1CEB"/>
    <w:rsid w:val="36E7289C"/>
    <w:rsid w:val="36E83F1F"/>
    <w:rsid w:val="36F31241"/>
    <w:rsid w:val="371D62BE"/>
    <w:rsid w:val="372E4027"/>
    <w:rsid w:val="374B4E4F"/>
    <w:rsid w:val="374E46CA"/>
    <w:rsid w:val="376E5D0B"/>
    <w:rsid w:val="378D6FA0"/>
    <w:rsid w:val="37A97B52"/>
    <w:rsid w:val="37B7401D"/>
    <w:rsid w:val="37DF63B2"/>
    <w:rsid w:val="37F86F59"/>
    <w:rsid w:val="37FB65FF"/>
    <w:rsid w:val="38033706"/>
    <w:rsid w:val="38163439"/>
    <w:rsid w:val="38523D46"/>
    <w:rsid w:val="38593326"/>
    <w:rsid w:val="385950D4"/>
    <w:rsid w:val="386F2D08"/>
    <w:rsid w:val="389205E6"/>
    <w:rsid w:val="38A04AB1"/>
    <w:rsid w:val="38B467AE"/>
    <w:rsid w:val="38BD1B07"/>
    <w:rsid w:val="38D86941"/>
    <w:rsid w:val="38EB1BA0"/>
    <w:rsid w:val="38F4304F"/>
    <w:rsid w:val="3902576C"/>
    <w:rsid w:val="392A081F"/>
    <w:rsid w:val="395B4E7C"/>
    <w:rsid w:val="395F496C"/>
    <w:rsid w:val="3986639D"/>
    <w:rsid w:val="399D36E6"/>
    <w:rsid w:val="39BF3694"/>
    <w:rsid w:val="39DF5AAD"/>
    <w:rsid w:val="39E41315"/>
    <w:rsid w:val="39FC040D"/>
    <w:rsid w:val="39FD25CE"/>
    <w:rsid w:val="39FD32B3"/>
    <w:rsid w:val="3A0B68A2"/>
    <w:rsid w:val="3A137505"/>
    <w:rsid w:val="3A173499"/>
    <w:rsid w:val="3A2B23FC"/>
    <w:rsid w:val="3A42356C"/>
    <w:rsid w:val="3A52002D"/>
    <w:rsid w:val="3A5B3385"/>
    <w:rsid w:val="3A612966"/>
    <w:rsid w:val="3A8A5A19"/>
    <w:rsid w:val="3A8E0B3B"/>
    <w:rsid w:val="3AA7481D"/>
    <w:rsid w:val="3AA840F1"/>
    <w:rsid w:val="3AAD343A"/>
    <w:rsid w:val="3AAD6C8D"/>
    <w:rsid w:val="3AB6680E"/>
    <w:rsid w:val="3AC058DE"/>
    <w:rsid w:val="3ACF78CF"/>
    <w:rsid w:val="3AF86E26"/>
    <w:rsid w:val="3B145AF3"/>
    <w:rsid w:val="3B264B22"/>
    <w:rsid w:val="3B2A2D58"/>
    <w:rsid w:val="3B341235"/>
    <w:rsid w:val="3B3F4A55"/>
    <w:rsid w:val="3B4C0F20"/>
    <w:rsid w:val="3B4C6090"/>
    <w:rsid w:val="3B8B1A48"/>
    <w:rsid w:val="3B9C3C56"/>
    <w:rsid w:val="3BB32D4D"/>
    <w:rsid w:val="3BDF3B42"/>
    <w:rsid w:val="3BE61375"/>
    <w:rsid w:val="3BF33A92"/>
    <w:rsid w:val="3C025A83"/>
    <w:rsid w:val="3C0417FB"/>
    <w:rsid w:val="3C127B13"/>
    <w:rsid w:val="3C21415B"/>
    <w:rsid w:val="3C3A0A68"/>
    <w:rsid w:val="3C3A346E"/>
    <w:rsid w:val="3C4847F2"/>
    <w:rsid w:val="3C5067EE"/>
    <w:rsid w:val="3C597D99"/>
    <w:rsid w:val="3C65673D"/>
    <w:rsid w:val="3CF11D7F"/>
    <w:rsid w:val="3CFC0724"/>
    <w:rsid w:val="3D281AFC"/>
    <w:rsid w:val="3D393726"/>
    <w:rsid w:val="3D40106E"/>
    <w:rsid w:val="3D485717"/>
    <w:rsid w:val="3D581DFE"/>
    <w:rsid w:val="3D6A1B31"/>
    <w:rsid w:val="3D9372DA"/>
    <w:rsid w:val="3D995F73"/>
    <w:rsid w:val="3D9B618F"/>
    <w:rsid w:val="3DA212CB"/>
    <w:rsid w:val="3DAA06EA"/>
    <w:rsid w:val="3DAE5EC2"/>
    <w:rsid w:val="3DB80AEF"/>
    <w:rsid w:val="3DC52B1B"/>
    <w:rsid w:val="3DDF42CD"/>
    <w:rsid w:val="3DE969F7"/>
    <w:rsid w:val="3DED69EA"/>
    <w:rsid w:val="3E09134A"/>
    <w:rsid w:val="3E2B12C1"/>
    <w:rsid w:val="3E2B306F"/>
    <w:rsid w:val="3E3143FA"/>
    <w:rsid w:val="3E3C527C"/>
    <w:rsid w:val="3E536B04"/>
    <w:rsid w:val="3E6250B5"/>
    <w:rsid w:val="3E832EAB"/>
    <w:rsid w:val="3E8F29C3"/>
    <w:rsid w:val="3E991BB8"/>
    <w:rsid w:val="3EA01CAF"/>
    <w:rsid w:val="3ECF5AF1"/>
    <w:rsid w:val="3ED94336"/>
    <w:rsid w:val="3EDC6A5F"/>
    <w:rsid w:val="3EE47CDB"/>
    <w:rsid w:val="3EEB0A50"/>
    <w:rsid w:val="3EF73899"/>
    <w:rsid w:val="3EFA58E8"/>
    <w:rsid w:val="3F1B1335"/>
    <w:rsid w:val="3F2301EA"/>
    <w:rsid w:val="3F2A40BE"/>
    <w:rsid w:val="3F3423F7"/>
    <w:rsid w:val="3F3466B8"/>
    <w:rsid w:val="3F536D21"/>
    <w:rsid w:val="3F760C61"/>
    <w:rsid w:val="3F762A0F"/>
    <w:rsid w:val="3F7B76A8"/>
    <w:rsid w:val="3F964EDA"/>
    <w:rsid w:val="3FDB0AC5"/>
    <w:rsid w:val="3FEC53DD"/>
    <w:rsid w:val="400E49F6"/>
    <w:rsid w:val="401D2E8B"/>
    <w:rsid w:val="403326AF"/>
    <w:rsid w:val="403A57EB"/>
    <w:rsid w:val="404C3770"/>
    <w:rsid w:val="405F5252"/>
    <w:rsid w:val="40694322"/>
    <w:rsid w:val="408353E4"/>
    <w:rsid w:val="409969B6"/>
    <w:rsid w:val="409F7D44"/>
    <w:rsid w:val="40A610D2"/>
    <w:rsid w:val="40BF2194"/>
    <w:rsid w:val="40D15BCF"/>
    <w:rsid w:val="40E165AE"/>
    <w:rsid w:val="40FE4A6B"/>
    <w:rsid w:val="41195D48"/>
    <w:rsid w:val="41463CBD"/>
    <w:rsid w:val="416219AA"/>
    <w:rsid w:val="416A27EA"/>
    <w:rsid w:val="416C123D"/>
    <w:rsid w:val="418333A8"/>
    <w:rsid w:val="41961147"/>
    <w:rsid w:val="41B31CF9"/>
    <w:rsid w:val="41B94E35"/>
    <w:rsid w:val="41CA0DF1"/>
    <w:rsid w:val="41CD7CB9"/>
    <w:rsid w:val="41E2613A"/>
    <w:rsid w:val="41E77BF5"/>
    <w:rsid w:val="41EA1493"/>
    <w:rsid w:val="41FE34CB"/>
    <w:rsid w:val="421F0F76"/>
    <w:rsid w:val="42312C1E"/>
    <w:rsid w:val="42336996"/>
    <w:rsid w:val="42380450"/>
    <w:rsid w:val="42472441"/>
    <w:rsid w:val="425D7EB7"/>
    <w:rsid w:val="42765487"/>
    <w:rsid w:val="427F1BDB"/>
    <w:rsid w:val="42A258CA"/>
    <w:rsid w:val="42B17F68"/>
    <w:rsid w:val="42B76A4F"/>
    <w:rsid w:val="42F84DF7"/>
    <w:rsid w:val="430B346F"/>
    <w:rsid w:val="431840AC"/>
    <w:rsid w:val="432946E3"/>
    <w:rsid w:val="433429C6"/>
    <w:rsid w:val="436C6603"/>
    <w:rsid w:val="43781A2B"/>
    <w:rsid w:val="4383394D"/>
    <w:rsid w:val="43866F99"/>
    <w:rsid w:val="438D0328"/>
    <w:rsid w:val="439E0787"/>
    <w:rsid w:val="43C85AF3"/>
    <w:rsid w:val="43D146B8"/>
    <w:rsid w:val="43ED0DC6"/>
    <w:rsid w:val="44093E52"/>
    <w:rsid w:val="442A3DC9"/>
    <w:rsid w:val="44466E54"/>
    <w:rsid w:val="44472BCC"/>
    <w:rsid w:val="445D7CFA"/>
    <w:rsid w:val="445F1CC4"/>
    <w:rsid w:val="446217B4"/>
    <w:rsid w:val="447119F7"/>
    <w:rsid w:val="448636F5"/>
    <w:rsid w:val="449000D0"/>
    <w:rsid w:val="44935E12"/>
    <w:rsid w:val="44983D5E"/>
    <w:rsid w:val="44A9083E"/>
    <w:rsid w:val="44CB735A"/>
    <w:rsid w:val="44DA57EF"/>
    <w:rsid w:val="44DF7614"/>
    <w:rsid w:val="44E64193"/>
    <w:rsid w:val="44F512D3"/>
    <w:rsid w:val="44F52066"/>
    <w:rsid w:val="44F71434"/>
    <w:rsid w:val="45091C30"/>
    <w:rsid w:val="450D1FA3"/>
    <w:rsid w:val="45132AAF"/>
    <w:rsid w:val="451C7BB5"/>
    <w:rsid w:val="451E0B93"/>
    <w:rsid w:val="451E392D"/>
    <w:rsid w:val="45264590"/>
    <w:rsid w:val="45561319"/>
    <w:rsid w:val="45717F01"/>
    <w:rsid w:val="45852B2D"/>
    <w:rsid w:val="458B0897"/>
    <w:rsid w:val="4594599D"/>
    <w:rsid w:val="45992FB4"/>
    <w:rsid w:val="45A8769B"/>
    <w:rsid w:val="45C86072"/>
    <w:rsid w:val="45F97EF6"/>
    <w:rsid w:val="460833AB"/>
    <w:rsid w:val="461E795D"/>
    <w:rsid w:val="462C3E28"/>
    <w:rsid w:val="46472A10"/>
    <w:rsid w:val="464F7B16"/>
    <w:rsid w:val="466510E8"/>
    <w:rsid w:val="46AF56EC"/>
    <w:rsid w:val="46B97A77"/>
    <w:rsid w:val="46BC0593"/>
    <w:rsid w:val="46C91677"/>
    <w:rsid w:val="46F73741"/>
    <w:rsid w:val="470041B9"/>
    <w:rsid w:val="470D3C59"/>
    <w:rsid w:val="471D14E6"/>
    <w:rsid w:val="47213261"/>
    <w:rsid w:val="472D42FC"/>
    <w:rsid w:val="47394A4E"/>
    <w:rsid w:val="473C453F"/>
    <w:rsid w:val="47555600"/>
    <w:rsid w:val="47680E90"/>
    <w:rsid w:val="477B5067"/>
    <w:rsid w:val="477F15A5"/>
    <w:rsid w:val="478D4D9A"/>
    <w:rsid w:val="478E0ADC"/>
    <w:rsid w:val="479003E6"/>
    <w:rsid w:val="47D26C51"/>
    <w:rsid w:val="47D93349"/>
    <w:rsid w:val="47DB78B4"/>
    <w:rsid w:val="47E04ECA"/>
    <w:rsid w:val="47FB5CA8"/>
    <w:rsid w:val="480908C5"/>
    <w:rsid w:val="48242500"/>
    <w:rsid w:val="483D056E"/>
    <w:rsid w:val="48496F13"/>
    <w:rsid w:val="48537D92"/>
    <w:rsid w:val="485633DE"/>
    <w:rsid w:val="486C2C02"/>
    <w:rsid w:val="486F624E"/>
    <w:rsid w:val="48834259"/>
    <w:rsid w:val="48961A2D"/>
    <w:rsid w:val="48B5374B"/>
    <w:rsid w:val="48FB5D34"/>
    <w:rsid w:val="48FC3F85"/>
    <w:rsid w:val="490948F4"/>
    <w:rsid w:val="490D388E"/>
    <w:rsid w:val="492E7EB7"/>
    <w:rsid w:val="495B68DA"/>
    <w:rsid w:val="49663AF5"/>
    <w:rsid w:val="497E2BEC"/>
    <w:rsid w:val="49971F00"/>
    <w:rsid w:val="49A34401"/>
    <w:rsid w:val="49A95790"/>
    <w:rsid w:val="4A007AA5"/>
    <w:rsid w:val="4A0C644A"/>
    <w:rsid w:val="4A2512BA"/>
    <w:rsid w:val="4A280DAA"/>
    <w:rsid w:val="4A522065"/>
    <w:rsid w:val="4A5E47CC"/>
    <w:rsid w:val="4A69389D"/>
    <w:rsid w:val="4A6C6EE9"/>
    <w:rsid w:val="4A6F2535"/>
    <w:rsid w:val="4A827B39"/>
    <w:rsid w:val="4A91694F"/>
    <w:rsid w:val="4A9D2E1F"/>
    <w:rsid w:val="4AB80380"/>
    <w:rsid w:val="4ABD14F2"/>
    <w:rsid w:val="4ACC7988"/>
    <w:rsid w:val="4AD131F0"/>
    <w:rsid w:val="4AD66A58"/>
    <w:rsid w:val="4AE20F59"/>
    <w:rsid w:val="4AFC64BF"/>
    <w:rsid w:val="4B117A90"/>
    <w:rsid w:val="4B7047B7"/>
    <w:rsid w:val="4B736055"/>
    <w:rsid w:val="4B7F0E9E"/>
    <w:rsid w:val="4B944949"/>
    <w:rsid w:val="4BBC79FC"/>
    <w:rsid w:val="4BD74836"/>
    <w:rsid w:val="4BF21670"/>
    <w:rsid w:val="4BF70A34"/>
    <w:rsid w:val="4BF81337"/>
    <w:rsid w:val="4C03387D"/>
    <w:rsid w:val="4C2555A1"/>
    <w:rsid w:val="4C3B3017"/>
    <w:rsid w:val="4C431ECB"/>
    <w:rsid w:val="4C5639AD"/>
    <w:rsid w:val="4C581045"/>
    <w:rsid w:val="4C5C6ABC"/>
    <w:rsid w:val="4C63431C"/>
    <w:rsid w:val="4C9D782D"/>
    <w:rsid w:val="4CA41CD0"/>
    <w:rsid w:val="4CAA1C51"/>
    <w:rsid w:val="4CB44B77"/>
    <w:rsid w:val="4CBB5F06"/>
    <w:rsid w:val="4CDF1BF4"/>
    <w:rsid w:val="4D1F6494"/>
    <w:rsid w:val="4D2D7E02"/>
    <w:rsid w:val="4D491763"/>
    <w:rsid w:val="4D657D8E"/>
    <w:rsid w:val="4D785D0C"/>
    <w:rsid w:val="4D7A36CB"/>
    <w:rsid w:val="4D81379B"/>
    <w:rsid w:val="4D8409ED"/>
    <w:rsid w:val="4DFA2A5E"/>
    <w:rsid w:val="4DFC4A28"/>
    <w:rsid w:val="4E0538DC"/>
    <w:rsid w:val="4E070D6E"/>
    <w:rsid w:val="4E217FEA"/>
    <w:rsid w:val="4E422B8B"/>
    <w:rsid w:val="4E516B22"/>
    <w:rsid w:val="4E656129"/>
    <w:rsid w:val="4E677448"/>
    <w:rsid w:val="4E8C7B5A"/>
    <w:rsid w:val="4E9C4EF1"/>
    <w:rsid w:val="4EB726FD"/>
    <w:rsid w:val="4EC8490A"/>
    <w:rsid w:val="4EE11A32"/>
    <w:rsid w:val="4F0516BA"/>
    <w:rsid w:val="4F2A1121"/>
    <w:rsid w:val="4F2E29BF"/>
    <w:rsid w:val="4F363F69"/>
    <w:rsid w:val="4F3F2E1E"/>
    <w:rsid w:val="4F400944"/>
    <w:rsid w:val="4F6463E1"/>
    <w:rsid w:val="4F6C1739"/>
    <w:rsid w:val="4F751524"/>
    <w:rsid w:val="4F8148B6"/>
    <w:rsid w:val="4F8D5F75"/>
    <w:rsid w:val="4FAE58AE"/>
    <w:rsid w:val="4FF21C3E"/>
    <w:rsid w:val="4FF359B6"/>
    <w:rsid w:val="4FFD7048"/>
    <w:rsid w:val="4FFF25AD"/>
    <w:rsid w:val="4FFF6109"/>
    <w:rsid w:val="500F0A42"/>
    <w:rsid w:val="501716A5"/>
    <w:rsid w:val="501F67AB"/>
    <w:rsid w:val="50203738"/>
    <w:rsid w:val="502344EE"/>
    <w:rsid w:val="506222DD"/>
    <w:rsid w:val="5065520B"/>
    <w:rsid w:val="50760AC1"/>
    <w:rsid w:val="508A1E77"/>
    <w:rsid w:val="508F1B83"/>
    <w:rsid w:val="508F3931"/>
    <w:rsid w:val="509A7801"/>
    <w:rsid w:val="509C1BAA"/>
    <w:rsid w:val="50AD2009"/>
    <w:rsid w:val="50B521B4"/>
    <w:rsid w:val="50CA6717"/>
    <w:rsid w:val="50F10148"/>
    <w:rsid w:val="51254295"/>
    <w:rsid w:val="51330C53"/>
    <w:rsid w:val="51404C2B"/>
    <w:rsid w:val="5153495F"/>
    <w:rsid w:val="51662AC7"/>
    <w:rsid w:val="5176689F"/>
    <w:rsid w:val="51787700"/>
    <w:rsid w:val="51AE7DE7"/>
    <w:rsid w:val="51B66C9C"/>
    <w:rsid w:val="51BF3DA2"/>
    <w:rsid w:val="51C63383"/>
    <w:rsid w:val="51C74ABF"/>
    <w:rsid w:val="51D6733E"/>
    <w:rsid w:val="51E47CAD"/>
    <w:rsid w:val="51EB4B97"/>
    <w:rsid w:val="52047062"/>
    <w:rsid w:val="520B6FE7"/>
    <w:rsid w:val="52105B50"/>
    <w:rsid w:val="521F224C"/>
    <w:rsid w:val="521F2A93"/>
    <w:rsid w:val="5257222D"/>
    <w:rsid w:val="526A6404"/>
    <w:rsid w:val="528F15C5"/>
    <w:rsid w:val="52AD62F0"/>
    <w:rsid w:val="52BC6C6A"/>
    <w:rsid w:val="52D7511B"/>
    <w:rsid w:val="52D9353C"/>
    <w:rsid w:val="52F165FC"/>
    <w:rsid w:val="52F91536"/>
    <w:rsid w:val="531E2A01"/>
    <w:rsid w:val="53456529"/>
    <w:rsid w:val="5354676C"/>
    <w:rsid w:val="539478C8"/>
    <w:rsid w:val="539D52EF"/>
    <w:rsid w:val="53B8319F"/>
    <w:rsid w:val="53CE651E"/>
    <w:rsid w:val="540B7773"/>
    <w:rsid w:val="54375424"/>
    <w:rsid w:val="54414685"/>
    <w:rsid w:val="54532EC8"/>
    <w:rsid w:val="546E1AAF"/>
    <w:rsid w:val="546E7D01"/>
    <w:rsid w:val="54776BB6"/>
    <w:rsid w:val="54962A1D"/>
    <w:rsid w:val="549C661D"/>
    <w:rsid w:val="54B03E76"/>
    <w:rsid w:val="54B95421"/>
    <w:rsid w:val="54E81862"/>
    <w:rsid w:val="54E83610"/>
    <w:rsid w:val="54F2387B"/>
    <w:rsid w:val="54FE2E33"/>
    <w:rsid w:val="55012924"/>
    <w:rsid w:val="55055F70"/>
    <w:rsid w:val="552D3354"/>
    <w:rsid w:val="5533743C"/>
    <w:rsid w:val="55376345"/>
    <w:rsid w:val="553B7BE4"/>
    <w:rsid w:val="556A671B"/>
    <w:rsid w:val="556F1F83"/>
    <w:rsid w:val="5579070C"/>
    <w:rsid w:val="558B39C6"/>
    <w:rsid w:val="55911EF9"/>
    <w:rsid w:val="55AB334C"/>
    <w:rsid w:val="55C776C9"/>
    <w:rsid w:val="55CC4CE0"/>
    <w:rsid w:val="55CF657E"/>
    <w:rsid w:val="55D122F6"/>
    <w:rsid w:val="55D32512"/>
    <w:rsid w:val="55D64741"/>
    <w:rsid w:val="55DB024F"/>
    <w:rsid w:val="55DF0EB7"/>
    <w:rsid w:val="55EE7B38"/>
    <w:rsid w:val="55F10BEA"/>
    <w:rsid w:val="560C77D2"/>
    <w:rsid w:val="561677EA"/>
    <w:rsid w:val="561870C5"/>
    <w:rsid w:val="561F7505"/>
    <w:rsid w:val="56625644"/>
    <w:rsid w:val="56764C4B"/>
    <w:rsid w:val="567C4958"/>
    <w:rsid w:val="567E035F"/>
    <w:rsid w:val="56813D1C"/>
    <w:rsid w:val="569A4DDE"/>
    <w:rsid w:val="569D7AA6"/>
    <w:rsid w:val="56AD4B11"/>
    <w:rsid w:val="56B7122E"/>
    <w:rsid w:val="56BA722E"/>
    <w:rsid w:val="56D54068"/>
    <w:rsid w:val="56E51894"/>
    <w:rsid w:val="56EF013D"/>
    <w:rsid w:val="56F16703"/>
    <w:rsid w:val="56F91D2C"/>
    <w:rsid w:val="570D1D35"/>
    <w:rsid w:val="57250B4B"/>
    <w:rsid w:val="57590FEB"/>
    <w:rsid w:val="57597B53"/>
    <w:rsid w:val="577D0987"/>
    <w:rsid w:val="57833AC4"/>
    <w:rsid w:val="57911D3D"/>
    <w:rsid w:val="57961A49"/>
    <w:rsid w:val="579A20C6"/>
    <w:rsid w:val="579C55B7"/>
    <w:rsid w:val="579D4B86"/>
    <w:rsid w:val="57A27B80"/>
    <w:rsid w:val="57AE0B41"/>
    <w:rsid w:val="57CF0BCA"/>
    <w:rsid w:val="57D12A81"/>
    <w:rsid w:val="581B5AAA"/>
    <w:rsid w:val="5822508B"/>
    <w:rsid w:val="58256929"/>
    <w:rsid w:val="582B2191"/>
    <w:rsid w:val="584679DD"/>
    <w:rsid w:val="584E5E80"/>
    <w:rsid w:val="585316E8"/>
    <w:rsid w:val="58533496"/>
    <w:rsid w:val="58555460"/>
    <w:rsid w:val="586C27AA"/>
    <w:rsid w:val="589A10C5"/>
    <w:rsid w:val="58BB2B5B"/>
    <w:rsid w:val="58CA7BFC"/>
    <w:rsid w:val="58CD4FF7"/>
    <w:rsid w:val="58E80082"/>
    <w:rsid w:val="58F5279F"/>
    <w:rsid w:val="58F93A9C"/>
    <w:rsid w:val="59050C34"/>
    <w:rsid w:val="59060509"/>
    <w:rsid w:val="59083F15"/>
    <w:rsid w:val="591E5852"/>
    <w:rsid w:val="5925362F"/>
    <w:rsid w:val="59376914"/>
    <w:rsid w:val="596D2336"/>
    <w:rsid w:val="597E4543"/>
    <w:rsid w:val="598853C1"/>
    <w:rsid w:val="598A2EE8"/>
    <w:rsid w:val="599E2E37"/>
    <w:rsid w:val="59AA5338"/>
    <w:rsid w:val="59B61F2F"/>
    <w:rsid w:val="59BC506B"/>
    <w:rsid w:val="59EC3BA2"/>
    <w:rsid w:val="5A04713E"/>
    <w:rsid w:val="5A403EEE"/>
    <w:rsid w:val="5A457E3E"/>
    <w:rsid w:val="5A5D23AA"/>
    <w:rsid w:val="5A6E2809"/>
    <w:rsid w:val="5A731BCE"/>
    <w:rsid w:val="5A8124C7"/>
    <w:rsid w:val="5A924D04"/>
    <w:rsid w:val="5AB11D73"/>
    <w:rsid w:val="5AB83A84"/>
    <w:rsid w:val="5ACD5782"/>
    <w:rsid w:val="5ADC59C5"/>
    <w:rsid w:val="5AF34ABD"/>
    <w:rsid w:val="5B363143"/>
    <w:rsid w:val="5B595267"/>
    <w:rsid w:val="5B6617F1"/>
    <w:rsid w:val="5B857E0A"/>
    <w:rsid w:val="5BA26C0E"/>
    <w:rsid w:val="5BAA5AC3"/>
    <w:rsid w:val="5BB97AB4"/>
    <w:rsid w:val="5BCF552A"/>
    <w:rsid w:val="5BDB7A2A"/>
    <w:rsid w:val="5BF47352"/>
    <w:rsid w:val="5BF64864"/>
    <w:rsid w:val="5C14118E"/>
    <w:rsid w:val="5C1D6295"/>
    <w:rsid w:val="5C335AB8"/>
    <w:rsid w:val="5C390BF5"/>
    <w:rsid w:val="5C4435DE"/>
    <w:rsid w:val="5C930305"/>
    <w:rsid w:val="5C974299"/>
    <w:rsid w:val="5CCE57E1"/>
    <w:rsid w:val="5CD45D2F"/>
    <w:rsid w:val="5CF039A9"/>
    <w:rsid w:val="5CF1327E"/>
    <w:rsid w:val="5CF35248"/>
    <w:rsid w:val="5D0E2082"/>
    <w:rsid w:val="5D1F603D"/>
    <w:rsid w:val="5D245401"/>
    <w:rsid w:val="5D373386"/>
    <w:rsid w:val="5D5C2DED"/>
    <w:rsid w:val="5D5D0A92"/>
    <w:rsid w:val="5D6A2A57"/>
    <w:rsid w:val="5D6D6DA8"/>
    <w:rsid w:val="5D8F6D1E"/>
    <w:rsid w:val="5DA16A52"/>
    <w:rsid w:val="5DAA1995"/>
    <w:rsid w:val="5DAC551A"/>
    <w:rsid w:val="5DC21086"/>
    <w:rsid w:val="5DE93F5D"/>
    <w:rsid w:val="5DEF1EB3"/>
    <w:rsid w:val="5E005E6E"/>
    <w:rsid w:val="5E0E058B"/>
    <w:rsid w:val="5E371164"/>
    <w:rsid w:val="5E7F5A64"/>
    <w:rsid w:val="5E8C14B0"/>
    <w:rsid w:val="5E914D18"/>
    <w:rsid w:val="5EA762EA"/>
    <w:rsid w:val="5EB01642"/>
    <w:rsid w:val="5EB50A07"/>
    <w:rsid w:val="5EBF3633"/>
    <w:rsid w:val="5ED327B2"/>
    <w:rsid w:val="5EDB5F93"/>
    <w:rsid w:val="5EF3152F"/>
    <w:rsid w:val="5F011E9E"/>
    <w:rsid w:val="5F2B0848"/>
    <w:rsid w:val="5F2C67EF"/>
    <w:rsid w:val="5F5A15AE"/>
    <w:rsid w:val="5F737CCB"/>
    <w:rsid w:val="5FA42829"/>
    <w:rsid w:val="5FA840C8"/>
    <w:rsid w:val="5FB7149A"/>
    <w:rsid w:val="5FB92779"/>
    <w:rsid w:val="5FDE3F8D"/>
    <w:rsid w:val="5FEA38A5"/>
    <w:rsid w:val="60082DB8"/>
    <w:rsid w:val="601064E7"/>
    <w:rsid w:val="60206354"/>
    <w:rsid w:val="60327E35"/>
    <w:rsid w:val="606A5821"/>
    <w:rsid w:val="60787F3E"/>
    <w:rsid w:val="607D5554"/>
    <w:rsid w:val="60824919"/>
    <w:rsid w:val="608A688B"/>
    <w:rsid w:val="60935106"/>
    <w:rsid w:val="60B44CEE"/>
    <w:rsid w:val="60C969EB"/>
    <w:rsid w:val="60E816CC"/>
    <w:rsid w:val="60F021CA"/>
    <w:rsid w:val="60F811C1"/>
    <w:rsid w:val="60FF4F56"/>
    <w:rsid w:val="61001944"/>
    <w:rsid w:val="610A61A7"/>
    <w:rsid w:val="61137C66"/>
    <w:rsid w:val="61363955"/>
    <w:rsid w:val="614371A1"/>
    <w:rsid w:val="614918DA"/>
    <w:rsid w:val="61504A17"/>
    <w:rsid w:val="6157407D"/>
    <w:rsid w:val="6162299C"/>
    <w:rsid w:val="61811074"/>
    <w:rsid w:val="61932B55"/>
    <w:rsid w:val="619F774C"/>
    <w:rsid w:val="61A11716"/>
    <w:rsid w:val="61A66D2D"/>
    <w:rsid w:val="61AD486F"/>
    <w:rsid w:val="61BA4EB8"/>
    <w:rsid w:val="61CD42B9"/>
    <w:rsid w:val="61ED04B8"/>
    <w:rsid w:val="620D0B5A"/>
    <w:rsid w:val="622A34BA"/>
    <w:rsid w:val="62326381"/>
    <w:rsid w:val="62456545"/>
    <w:rsid w:val="624A3B5C"/>
    <w:rsid w:val="6255576B"/>
    <w:rsid w:val="625E7607"/>
    <w:rsid w:val="628E741B"/>
    <w:rsid w:val="62AD7C47"/>
    <w:rsid w:val="62C918C0"/>
    <w:rsid w:val="62E96ED1"/>
    <w:rsid w:val="62ED06F3"/>
    <w:rsid w:val="62F31AFE"/>
    <w:rsid w:val="63253C81"/>
    <w:rsid w:val="632B74E9"/>
    <w:rsid w:val="63426FCC"/>
    <w:rsid w:val="634974F0"/>
    <w:rsid w:val="63666773"/>
    <w:rsid w:val="636C365E"/>
    <w:rsid w:val="637C7D45"/>
    <w:rsid w:val="637D586B"/>
    <w:rsid w:val="63846BFA"/>
    <w:rsid w:val="638D73EA"/>
    <w:rsid w:val="63AC7EFE"/>
    <w:rsid w:val="63B15515"/>
    <w:rsid w:val="63D35447"/>
    <w:rsid w:val="63D75258"/>
    <w:rsid w:val="63DA2CBC"/>
    <w:rsid w:val="63E61662"/>
    <w:rsid w:val="63F907C6"/>
    <w:rsid w:val="64030141"/>
    <w:rsid w:val="641461CF"/>
    <w:rsid w:val="642124B8"/>
    <w:rsid w:val="64271D63"/>
    <w:rsid w:val="64287ECD"/>
    <w:rsid w:val="644545DB"/>
    <w:rsid w:val="64573A20"/>
    <w:rsid w:val="64610CE9"/>
    <w:rsid w:val="64B259E8"/>
    <w:rsid w:val="64C03C61"/>
    <w:rsid w:val="64C33752"/>
    <w:rsid w:val="64CA6FED"/>
    <w:rsid w:val="64D12F7E"/>
    <w:rsid w:val="64D140C0"/>
    <w:rsid w:val="64FB113D"/>
    <w:rsid w:val="651F307E"/>
    <w:rsid w:val="65222B6E"/>
    <w:rsid w:val="652266CA"/>
    <w:rsid w:val="652341F0"/>
    <w:rsid w:val="65493C57"/>
    <w:rsid w:val="654A5C21"/>
    <w:rsid w:val="656071F2"/>
    <w:rsid w:val="6562730B"/>
    <w:rsid w:val="656B62C3"/>
    <w:rsid w:val="658D132E"/>
    <w:rsid w:val="659375C8"/>
    <w:rsid w:val="65984BDE"/>
    <w:rsid w:val="65B732B6"/>
    <w:rsid w:val="65D35C16"/>
    <w:rsid w:val="65E87914"/>
    <w:rsid w:val="65F75DA9"/>
    <w:rsid w:val="6604539F"/>
    <w:rsid w:val="663E6ABA"/>
    <w:rsid w:val="664D59C9"/>
    <w:rsid w:val="66552ACF"/>
    <w:rsid w:val="665B6338"/>
    <w:rsid w:val="666618FF"/>
    <w:rsid w:val="666B40A1"/>
    <w:rsid w:val="667A42E4"/>
    <w:rsid w:val="66860EDB"/>
    <w:rsid w:val="669051F0"/>
    <w:rsid w:val="66952ECC"/>
    <w:rsid w:val="669C08A2"/>
    <w:rsid w:val="66A82BFF"/>
    <w:rsid w:val="66A94EB4"/>
    <w:rsid w:val="66AB26EF"/>
    <w:rsid w:val="66BE0674"/>
    <w:rsid w:val="66D32372"/>
    <w:rsid w:val="66E3030C"/>
    <w:rsid w:val="66F83B86"/>
    <w:rsid w:val="66FB5425"/>
    <w:rsid w:val="66FD53B0"/>
    <w:rsid w:val="673812B4"/>
    <w:rsid w:val="67430B7A"/>
    <w:rsid w:val="677D0530"/>
    <w:rsid w:val="67966EFB"/>
    <w:rsid w:val="67A05FCC"/>
    <w:rsid w:val="67B217A3"/>
    <w:rsid w:val="67CC0B6F"/>
    <w:rsid w:val="67D363A2"/>
    <w:rsid w:val="67D87514"/>
    <w:rsid w:val="67F105D6"/>
    <w:rsid w:val="67F307F2"/>
    <w:rsid w:val="68120C78"/>
    <w:rsid w:val="683010FE"/>
    <w:rsid w:val="6832131A"/>
    <w:rsid w:val="683A01CF"/>
    <w:rsid w:val="684E59A6"/>
    <w:rsid w:val="685272C6"/>
    <w:rsid w:val="68694610"/>
    <w:rsid w:val="686B0388"/>
    <w:rsid w:val="686F3C52"/>
    <w:rsid w:val="68817BAC"/>
    <w:rsid w:val="68996CA3"/>
    <w:rsid w:val="689A0C6D"/>
    <w:rsid w:val="68C4356A"/>
    <w:rsid w:val="68C55A0F"/>
    <w:rsid w:val="68CA1553"/>
    <w:rsid w:val="68E36170"/>
    <w:rsid w:val="68F20AA9"/>
    <w:rsid w:val="69000C4D"/>
    <w:rsid w:val="691E53FA"/>
    <w:rsid w:val="693370F8"/>
    <w:rsid w:val="694F3806"/>
    <w:rsid w:val="697D4817"/>
    <w:rsid w:val="698060B5"/>
    <w:rsid w:val="69821E2D"/>
    <w:rsid w:val="699E02E9"/>
    <w:rsid w:val="6A024D1C"/>
    <w:rsid w:val="6A063DCF"/>
    <w:rsid w:val="6A0942FC"/>
    <w:rsid w:val="6A1862EE"/>
    <w:rsid w:val="6A276531"/>
    <w:rsid w:val="6A3273AF"/>
    <w:rsid w:val="6A370475"/>
    <w:rsid w:val="6A3F387A"/>
    <w:rsid w:val="6A486BD3"/>
    <w:rsid w:val="6A625F67"/>
    <w:rsid w:val="6A927E4E"/>
    <w:rsid w:val="6A955B90"/>
    <w:rsid w:val="6AB51D8E"/>
    <w:rsid w:val="6AC8467F"/>
    <w:rsid w:val="6ADB7A47"/>
    <w:rsid w:val="6ADE7537"/>
    <w:rsid w:val="6AE21764"/>
    <w:rsid w:val="6AF97ECD"/>
    <w:rsid w:val="6B023BE3"/>
    <w:rsid w:val="6B0B7C00"/>
    <w:rsid w:val="6B0C63F2"/>
    <w:rsid w:val="6B264A3A"/>
    <w:rsid w:val="6B3B4041"/>
    <w:rsid w:val="6B403FC8"/>
    <w:rsid w:val="6B4A0729"/>
    <w:rsid w:val="6B6271EC"/>
    <w:rsid w:val="6B6C4B43"/>
    <w:rsid w:val="6B6F1F3D"/>
    <w:rsid w:val="6B737C7F"/>
    <w:rsid w:val="6B8E4AB9"/>
    <w:rsid w:val="6B8F25DF"/>
    <w:rsid w:val="6B924B8A"/>
    <w:rsid w:val="6B9E0A74"/>
    <w:rsid w:val="6BC9041D"/>
    <w:rsid w:val="6BD46244"/>
    <w:rsid w:val="6BEF4116"/>
    <w:rsid w:val="6BFC24ED"/>
    <w:rsid w:val="6C16685D"/>
    <w:rsid w:val="6C225202"/>
    <w:rsid w:val="6C240F7A"/>
    <w:rsid w:val="6C4253C7"/>
    <w:rsid w:val="6C5D26DE"/>
    <w:rsid w:val="6C783074"/>
    <w:rsid w:val="6C9A123C"/>
    <w:rsid w:val="6CA36342"/>
    <w:rsid w:val="6CA67BE1"/>
    <w:rsid w:val="6CAD0F6F"/>
    <w:rsid w:val="6CBE317C"/>
    <w:rsid w:val="6CC00BB0"/>
    <w:rsid w:val="6CC9154D"/>
    <w:rsid w:val="6CDA3D2E"/>
    <w:rsid w:val="6CFE19FF"/>
    <w:rsid w:val="6D2011DA"/>
    <w:rsid w:val="6D2C27DC"/>
    <w:rsid w:val="6D301BA0"/>
    <w:rsid w:val="6D54763D"/>
    <w:rsid w:val="6D6C2BD8"/>
    <w:rsid w:val="6D6F091A"/>
    <w:rsid w:val="6D6F6141"/>
    <w:rsid w:val="6D863E0F"/>
    <w:rsid w:val="6D877A12"/>
    <w:rsid w:val="6D8F0BA2"/>
    <w:rsid w:val="6D920165"/>
    <w:rsid w:val="6DB12CE1"/>
    <w:rsid w:val="6DDB34D6"/>
    <w:rsid w:val="6DDE05DD"/>
    <w:rsid w:val="6DF02BC2"/>
    <w:rsid w:val="6DFB76C0"/>
    <w:rsid w:val="6E3F653F"/>
    <w:rsid w:val="6E423939"/>
    <w:rsid w:val="6E511637"/>
    <w:rsid w:val="6E623FDB"/>
    <w:rsid w:val="6E641527"/>
    <w:rsid w:val="6E6733A0"/>
    <w:rsid w:val="6E697118"/>
    <w:rsid w:val="6E6C09B6"/>
    <w:rsid w:val="6E743546"/>
    <w:rsid w:val="6E8403F6"/>
    <w:rsid w:val="6E9817AB"/>
    <w:rsid w:val="6EA711FC"/>
    <w:rsid w:val="6EC32CCC"/>
    <w:rsid w:val="6ED07197"/>
    <w:rsid w:val="6EE61403"/>
    <w:rsid w:val="6F094457"/>
    <w:rsid w:val="6F0D03EB"/>
    <w:rsid w:val="6F1F3C7A"/>
    <w:rsid w:val="6F3B6D06"/>
    <w:rsid w:val="6F4162E7"/>
    <w:rsid w:val="6F51552C"/>
    <w:rsid w:val="6F5778B8"/>
    <w:rsid w:val="6F683873"/>
    <w:rsid w:val="6F8D391A"/>
    <w:rsid w:val="6F984159"/>
    <w:rsid w:val="6FAC19B2"/>
    <w:rsid w:val="6FAF3250"/>
    <w:rsid w:val="6FB940CF"/>
    <w:rsid w:val="6FC22F83"/>
    <w:rsid w:val="700C6D2E"/>
    <w:rsid w:val="7022077C"/>
    <w:rsid w:val="702E23C7"/>
    <w:rsid w:val="70381498"/>
    <w:rsid w:val="7040034C"/>
    <w:rsid w:val="704C4F43"/>
    <w:rsid w:val="70710506"/>
    <w:rsid w:val="707A20B1"/>
    <w:rsid w:val="70BA00FF"/>
    <w:rsid w:val="70C41A1A"/>
    <w:rsid w:val="70CE7706"/>
    <w:rsid w:val="70DE203F"/>
    <w:rsid w:val="70F133F4"/>
    <w:rsid w:val="71053D85"/>
    <w:rsid w:val="711E068D"/>
    <w:rsid w:val="712F49A0"/>
    <w:rsid w:val="71306613"/>
    <w:rsid w:val="7148395C"/>
    <w:rsid w:val="71571FBA"/>
    <w:rsid w:val="715C11B6"/>
    <w:rsid w:val="716B764B"/>
    <w:rsid w:val="71CF1988"/>
    <w:rsid w:val="71EA67C2"/>
    <w:rsid w:val="72084E9A"/>
    <w:rsid w:val="722C2936"/>
    <w:rsid w:val="722F0678"/>
    <w:rsid w:val="723143F0"/>
    <w:rsid w:val="72380ACC"/>
    <w:rsid w:val="726227FC"/>
    <w:rsid w:val="726E2F4F"/>
    <w:rsid w:val="727275E0"/>
    <w:rsid w:val="727A7B45"/>
    <w:rsid w:val="728A3B01"/>
    <w:rsid w:val="72966949"/>
    <w:rsid w:val="729D55E2"/>
    <w:rsid w:val="72ED47BB"/>
    <w:rsid w:val="72FA2A34"/>
    <w:rsid w:val="73190FF4"/>
    <w:rsid w:val="733A1083"/>
    <w:rsid w:val="73412411"/>
    <w:rsid w:val="735760D9"/>
    <w:rsid w:val="73591E51"/>
    <w:rsid w:val="736E6F7E"/>
    <w:rsid w:val="73770529"/>
    <w:rsid w:val="73797984"/>
    <w:rsid w:val="7383420D"/>
    <w:rsid w:val="73843B37"/>
    <w:rsid w:val="738A025C"/>
    <w:rsid w:val="739939DD"/>
    <w:rsid w:val="73A330CC"/>
    <w:rsid w:val="73D239B1"/>
    <w:rsid w:val="73FE6554"/>
    <w:rsid w:val="74033B6B"/>
    <w:rsid w:val="740A314B"/>
    <w:rsid w:val="740A4EF9"/>
    <w:rsid w:val="74130252"/>
    <w:rsid w:val="742B457C"/>
    <w:rsid w:val="742F4960"/>
    <w:rsid w:val="74324450"/>
    <w:rsid w:val="744C5512"/>
    <w:rsid w:val="7463392D"/>
    <w:rsid w:val="74650381"/>
    <w:rsid w:val="748922C2"/>
    <w:rsid w:val="7491561A"/>
    <w:rsid w:val="74936C9D"/>
    <w:rsid w:val="74A54C22"/>
    <w:rsid w:val="74AC4202"/>
    <w:rsid w:val="74B530B7"/>
    <w:rsid w:val="74C4154C"/>
    <w:rsid w:val="74CF5A6B"/>
    <w:rsid w:val="74DC4AE7"/>
    <w:rsid w:val="74DD23E1"/>
    <w:rsid w:val="7501454E"/>
    <w:rsid w:val="751D6EAE"/>
    <w:rsid w:val="75241FEA"/>
    <w:rsid w:val="753366D1"/>
    <w:rsid w:val="75491A51"/>
    <w:rsid w:val="75706FDE"/>
    <w:rsid w:val="7593476F"/>
    <w:rsid w:val="75984ABB"/>
    <w:rsid w:val="759C4277"/>
    <w:rsid w:val="75A53923"/>
    <w:rsid w:val="75EF43A6"/>
    <w:rsid w:val="75F55735"/>
    <w:rsid w:val="75FE45EA"/>
    <w:rsid w:val="76472A2A"/>
    <w:rsid w:val="764D5571"/>
    <w:rsid w:val="767A4721"/>
    <w:rsid w:val="767E572A"/>
    <w:rsid w:val="769D3E02"/>
    <w:rsid w:val="76B24759"/>
    <w:rsid w:val="76B949B4"/>
    <w:rsid w:val="76F53C3E"/>
    <w:rsid w:val="76F61765"/>
    <w:rsid w:val="76FA74A7"/>
    <w:rsid w:val="77112A42"/>
    <w:rsid w:val="774E77F3"/>
    <w:rsid w:val="77562203"/>
    <w:rsid w:val="775E00EB"/>
    <w:rsid w:val="77866F8C"/>
    <w:rsid w:val="778C3E77"/>
    <w:rsid w:val="779D6084"/>
    <w:rsid w:val="77C41863"/>
    <w:rsid w:val="77C875A5"/>
    <w:rsid w:val="77DF669D"/>
    <w:rsid w:val="77E90D1D"/>
    <w:rsid w:val="77FE4D75"/>
    <w:rsid w:val="780A371A"/>
    <w:rsid w:val="780B1240"/>
    <w:rsid w:val="781B5927"/>
    <w:rsid w:val="781C51FB"/>
    <w:rsid w:val="783047A8"/>
    <w:rsid w:val="78393FFF"/>
    <w:rsid w:val="784A02E9"/>
    <w:rsid w:val="784C3D32"/>
    <w:rsid w:val="784F55D0"/>
    <w:rsid w:val="785C1A9B"/>
    <w:rsid w:val="78715547"/>
    <w:rsid w:val="787E58F4"/>
    <w:rsid w:val="78E26444"/>
    <w:rsid w:val="78EA730D"/>
    <w:rsid w:val="7911045C"/>
    <w:rsid w:val="791C31CA"/>
    <w:rsid w:val="791F31F5"/>
    <w:rsid w:val="79224A93"/>
    <w:rsid w:val="792F0F5E"/>
    <w:rsid w:val="793547C6"/>
    <w:rsid w:val="79507852"/>
    <w:rsid w:val="79773031"/>
    <w:rsid w:val="798057FE"/>
    <w:rsid w:val="79905EA0"/>
    <w:rsid w:val="79A27982"/>
    <w:rsid w:val="79D378DB"/>
    <w:rsid w:val="79DC0860"/>
    <w:rsid w:val="79E63D12"/>
    <w:rsid w:val="79EE2BC7"/>
    <w:rsid w:val="79F301DD"/>
    <w:rsid w:val="7A4776B9"/>
    <w:rsid w:val="7A480529"/>
    <w:rsid w:val="7A4F7B0A"/>
    <w:rsid w:val="7A652E89"/>
    <w:rsid w:val="7A770D96"/>
    <w:rsid w:val="7A77448A"/>
    <w:rsid w:val="7A7E03EF"/>
    <w:rsid w:val="7A831561"/>
    <w:rsid w:val="7AA00365"/>
    <w:rsid w:val="7AA339B1"/>
    <w:rsid w:val="7AA5772A"/>
    <w:rsid w:val="7ABA5A98"/>
    <w:rsid w:val="7ADF7479"/>
    <w:rsid w:val="7AEA7832"/>
    <w:rsid w:val="7B0A1C83"/>
    <w:rsid w:val="7B0F7299"/>
    <w:rsid w:val="7B124ED6"/>
    <w:rsid w:val="7B2C39A7"/>
    <w:rsid w:val="7B2E771F"/>
    <w:rsid w:val="7B31720F"/>
    <w:rsid w:val="7B430CF1"/>
    <w:rsid w:val="7B7F441F"/>
    <w:rsid w:val="7B9831A9"/>
    <w:rsid w:val="7BCC0CE6"/>
    <w:rsid w:val="7BDC53CD"/>
    <w:rsid w:val="7BEC1388"/>
    <w:rsid w:val="7BF30969"/>
    <w:rsid w:val="7BF73FB5"/>
    <w:rsid w:val="7C091F3A"/>
    <w:rsid w:val="7C190BBA"/>
    <w:rsid w:val="7C492337"/>
    <w:rsid w:val="7C6347E5"/>
    <w:rsid w:val="7C75137E"/>
    <w:rsid w:val="7C827AEC"/>
    <w:rsid w:val="7C8415C1"/>
    <w:rsid w:val="7C8B770E"/>
    <w:rsid w:val="7C8D2B6B"/>
    <w:rsid w:val="7C8E41ED"/>
    <w:rsid w:val="7C945CA8"/>
    <w:rsid w:val="7CA67789"/>
    <w:rsid w:val="7CB20F74"/>
    <w:rsid w:val="7CBE2D25"/>
    <w:rsid w:val="7D036989"/>
    <w:rsid w:val="7D056BA5"/>
    <w:rsid w:val="7D0F532E"/>
    <w:rsid w:val="7D1312C2"/>
    <w:rsid w:val="7D2708CA"/>
    <w:rsid w:val="7D32101D"/>
    <w:rsid w:val="7D741635"/>
    <w:rsid w:val="7D7F0706"/>
    <w:rsid w:val="7D8D0136"/>
    <w:rsid w:val="7D983576"/>
    <w:rsid w:val="7DB22DA3"/>
    <w:rsid w:val="7DB859C6"/>
    <w:rsid w:val="7DBF4546"/>
    <w:rsid w:val="7DC720AD"/>
    <w:rsid w:val="7DC75C09"/>
    <w:rsid w:val="7DD520D4"/>
    <w:rsid w:val="7DD87E16"/>
    <w:rsid w:val="7DDD71DA"/>
    <w:rsid w:val="7DE20C95"/>
    <w:rsid w:val="7DFD787D"/>
    <w:rsid w:val="7E01111B"/>
    <w:rsid w:val="7E1C7D03"/>
    <w:rsid w:val="7E291344"/>
    <w:rsid w:val="7E492AC2"/>
    <w:rsid w:val="7E4D7032"/>
    <w:rsid w:val="7E553215"/>
    <w:rsid w:val="7E7318ED"/>
    <w:rsid w:val="7E7547A3"/>
    <w:rsid w:val="7E756D64"/>
    <w:rsid w:val="7E775881"/>
    <w:rsid w:val="7E851D4C"/>
    <w:rsid w:val="7E8B48A1"/>
    <w:rsid w:val="7E8B4E88"/>
    <w:rsid w:val="7E9F0934"/>
    <w:rsid w:val="7EA111FA"/>
    <w:rsid w:val="7EB0669D"/>
    <w:rsid w:val="7EDE7E45"/>
    <w:rsid w:val="7EF173E1"/>
    <w:rsid w:val="7F01514B"/>
    <w:rsid w:val="7F0A4BE2"/>
    <w:rsid w:val="7F127358"/>
    <w:rsid w:val="7F65392B"/>
    <w:rsid w:val="7FBA1DF2"/>
    <w:rsid w:val="7FBB179D"/>
    <w:rsid w:val="7FBF029A"/>
    <w:rsid w:val="7FCA69D3"/>
    <w:rsid w:val="7FCE28C1"/>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name="envelope return"/>
    <w:lsdException w:qFormat="1" w:uiPriority="99" w:semiHidden="0" w:name="footnote reference"/>
    <w:lsdException w:uiPriority="99" w:name="annotation reference"/>
    <w:lsdException w:uiPriority="99" w:name="line number"/>
    <w:lsdException w:qFormat="1" w:uiPriority="99"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7"/>
    <w:qFormat/>
    <w:uiPriority w:val="99"/>
    <w:pPr>
      <w:keepNext/>
      <w:keepLines/>
      <w:spacing w:before="340" w:after="330" w:line="576" w:lineRule="auto"/>
      <w:outlineLvl w:val="0"/>
    </w:pPr>
    <w:rPr>
      <w:rFonts w:ascii="Calibri" w:hAnsi="Calibri"/>
      <w:b/>
      <w:bCs/>
      <w:kern w:val="44"/>
      <w:sz w:val="44"/>
      <w:szCs w:val="44"/>
    </w:rPr>
  </w:style>
  <w:style w:type="paragraph" w:styleId="3">
    <w:name w:val="heading 2"/>
    <w:basedOn w:val="1"/>
    <w:next w:val="1"/>
    <w:link w:val="68"/>
    <w:qFormat/>
    <w:uiPriority w:val="99"/>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link w:val="69"/>
    <w:qFormat/>
    <w:uiPriority w:val="99"/>
    <w:pPr>
      <w:keepNext/>
      <w:keepLines/>
      <w:spacing w:before="260" w:after="260" w:line="415" w:lineRule="auto"/>
      <w:outlineLvl w:val="2"/>
    </w:pPr>
    <w:rPr>
      <w:b/>
      <w:bCs/>
      <w:kern w:val="0"/>
      <w:sz w:val="32"/>
      <w:szCs w:val="32"/>
    </w:rPr>
  </w:style>
  <w:style w:type="paragraph" w:styleId="5">
    <w:name w:val="heading 4"/>
    <w:basedOn w:val="1"/>
    <w:next w:val="1"/>
    <w:link w:val="70"/>
    <w:qFormat/>
    <w:uiPriority w:val="0"/>
    <w:pPr>
      <w:keepNext/>
      <w:keepLines/>
      <w:spacing w:before="280" w:after="290" w:line="374" w:lineRule="auto"/>
      <w:outlineLvl w:val="3"/>
    </w:pPr>
    <w:rPr>
      <w:rFonts w:ascii="Arial" w:hAnsi="Arial" w:eastAsia="黑体"/>
      <w:b/>
      <w:bCs/>
      <w:kern w:val="0"/>
      <w:sz w:val="28"/>
      <w:szCs w:val="28"/>
    </w:rPr>
  </w:style>
  <w:style w:type="paragraph" w:styleId="6">
    <w:name w:val="heading 5"/>
    <w:basedOn w:val="1"/>
    <w:next w:val="1"/>
    <w:link w:val="71"/>
    <w:qFormat/>
    <w:uiPriority w:val="9"/>
    <w:pPr>
      <w:keepNext/>
      <w:keepLines/>
      <w:spacing w:before="280" w:after="290" w:line="372" w:lineRule="auto"/>
      <w:outlineLvl w:val="4"/>
    </w:pPr>
    <w:rPr>
      <w:rFonts w:ascii="Calibri" w:hAnsi="Calibri"/>
      <w:b/>
      <w:bCs/>
      <w:kern w:val="0"/>
      <w:sz w:val="28"/>
      <w:szCs w:val="28"/>
    </w:rPr>
  </w:style>
  <w:style w:type="paragraph" w:styleId="7">
    <w:name w:val="heading 6"/>
    <w:basedOn w:val="1"/>
    <w:next w:val="1"/>
    <w:link w:val="72"/>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73"/>
    <w:qFormat/>
    <w:uiPriority w:val="0"/>
    <w:pPr>
      <w:keepNext/>
      <w:keepLines/>
      <w:widowControl/>
      <w:tabs>
        <w:tab w:val="left" w:pos="2520"/>
      </w:tabs>
      <w:spacing w:before="240" w:after="64" w:line="320" w:lineRule="auto"/>
      <w:ind w:left="1296" w:hanging="1296"/>
      <w:jc w:val="left"/>
      <w:outlineLvl w:val="6"/>
    </w:pPr>
    <w:rPr>
      <w:rFonts w:ascii="Calibri" w:hAnsi="Calibri"/>
      <w:b/>
      <w:bCs/>
      <w:kern w:val="0"/>
      <w:sz w:val="24"/>
    </w:rPr>
  </w:style>
  <w:style w:type="paragraph" w:styleId="9">
    <w:name w:val="heading 8"/>
    <w:basedOn w:val="1"/>
    <w:next w:val="1"/>
    <w:link w:val="74"/>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75"/>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 w:val="20"/>
      <w:szCs w:val="21"/>
    </w:rPr>
  </w:style>
  <w:style w:type="character" w:default="1" w:styleId="45">
    <w:name w:val="Default Paragraph Font"/>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szCs w:val="22"/>
    </w:rPr>
  </w:style>
  <w:style w:type="paragraph" w:styleId="12">
    <w:name w:val="Normal Indent"/>
    <w:basedOn w:val="1"/>
    <w:next w:val="13"/>
    <w:qFormat/>
    <w:uiPriority w:val="0"/>
    <w:pPr>
      <w:spacing w:line="360" w:lineRule="auto"/>
      <w:ind w:firstLine="200" w:firstLineChars="200"/>
    </w:pPr>
    <w:rPr>
      <w:rFonts w:ascii="Times New Roman" w:hAnsi="Times New Roman" w:cs="Times New Roman"/>
    </w:rPr>
  </w:style>
  <w:style w:type="paragraph" w:styleId="13">
    <w:name w:val="toc 2"/>
    <w:basedOn w:val="1"/>
    <w:next w:val="1"/>
    <w:unhideWhenUsed/>
    <w:qFormat/>
    <w:uiPriority w:val="39"/>
    <w:pPr>
      <w:ind w:left="210"/>
      <w:jc w:val="left"/>
    </w:pPr>
    <w:rPr>
      <w:smallCaps/>
      <w:sz w:val="20"/>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135"/>
    <w:qFormat/>
    <w:uiPriority w:val="0"/>
    <w:pPr>
      <w:shd w:val="clear" w:color="auto" w:fill="000080"/>
    </w:pPr>
    <w:rPr>
      <w:rFonts w:asciiTheme="minorHAnsi" w:hAnsiTheme="minorHAnsi" w:cstheme="minorBidi"/>
      <w:shd w:val="clear" w:color="auto" w:fill="000080"/>
    </w:rPr>
  </w:style>
  <w:style w:type="paragraph" w:styleId="16">
    <w:name w:val="annotation text"/>
    <w:basedOn w:val="1"/>
    <w:link w:val="139"/>
    <w:qFormat/>
    <w:uiPriority w:val="0"/>
    <w:pPr>
      <w:jc w:val="left"/>
    </w:pPr>
    <w:rPr>
      <w:rFonts w:asciiTheme="minorHAnsi" w:hAnsiTheme="minorHAnsi" w:cstheme="minorBidi"/>
    </w:rPr>
  </w:style>
  <w:style w:type="paragraph" w:styleId="17">
    <w:name w:val="Body Text 3"/>
    <w:basedOn w:val="1"/>
    <w:link w:val="134"/>
    <w:unhideWhenUsed/>
    <w:qFormat/>
    <w:uiPriority w:val="99"/>
    <w:rPr>
      <w:rFonts w:ascii="宋体" w:hAnsiTheme="minorHAnsi" w:cstheme="minorBidi"/>
      <w:sz w:val="24"/>
      <w:szCs w:val="22"/>
    </w:rPr>
  </w:style>
  <w:style w:type="paragraph" w:styleId="18">
    <w:name w:val="Body Text"/>
    <w:basedOn w:val="1"/>
    <w:link w:val="138"/>
    <w:qFormat/>
    <w:uiPriority w:val="0"/>
    <w:pPr>
      <w:spacing w:after="120"/>
    </w:pPr>
    <w:rPr>
      <w:rFonts w:asciiTheme="minorHAnsi" w:hAnsiTheme="minorHAnsi" w:cstheme="minorBidi"/>
    </w:rPr>
  </w:style>
  <w:style w:type="paragraph" w:styleId="19">
    <w:name w:val="Body Text Indent"/>
    <w:basedOn w:val="1"/>
    <w:link w:val="136"/>
    <w:unhideWhenUsed/>
    <w:qFormat/>
    <w:uiPriority w:val="0"/>
    <w:pPr>
      <w:spacing w:after="120"/>
      <w:ind w:left="420" w:leftChars="200"/>
    </w:pPr>
  </w:style>
  <w:style w:type="paragraph" w:styleId="20">
    <w:name w:val="toc 5"/>
    <w:basedOn w:val="1"/>
    <w:next w:val="1"/>
    <w:unhideWhenUsed/>
    <w:qFormat/>
    <w:uiPriority w:val="39"/>
    <w:pPr>
      <w:ind w:left="1680" w:leftChars="800"/>
    </w:pPr>
    <w:rPr>
      <w:szCs w:val="22"/>
    </w:rPr>
  </w:style>
  <w:style w:type="paragraph" w:styleId="21">
    <w:name w:val="toc 3"/>
    <w:basedOn w:val="1"/>
    <w:next w:val="1"/>
    <w:qFormat/>
    <w:uiPriority w:val="39"/>
    <w:pPr>
      <w:ind w:left="840" w:leftChars="400"/>
    </w:pPr>
  </w:style>
  <w:style w:type="paragraph" w:styleId="22">
    <w:name w:val="Plain Text"/>
    <w:basedOn w:val="1"/>
    <w:link w:val="145"/>
    <w:unhideWhenUsed/>
    <w:qFormat/>
    <w:uiPriority w:val="99"/>
    <w:rPr>
      <w:rFonts w:ascii="Courier New" w:hAnsi="Courier New" w:cstheme="minorBidi"/>
      <w:szCs w:val="22"/>
    </w:rPr>
  </w:style>
  <w:style w:type="paragraph" w:styleId="23">
    <w:name w:val="toc 8"/>
    <w:basedOn w:val="1"/>
    <w:next w:val="1"/>
    <w:unhideWhenUsed/>
    <w:qFormat/>
    <w:uiPriority w:val="39"/>
    <w:pPr>
      <w:ind w:left="2940" w:leftChars="1400"/>
    </w:pPr>
    <w:rPr>
      <w:szCs w:val="22"/>
    </w:rPr>
  </w:style>
  <w:style w:type="paragraph" w:styleId="24">
    <w:name w:val="Date"/>
    <w:basedOn w:val="1"/>
    <w:next w:val="1"/>
    <w:link w:val="143"/>
    <w:qFormat/>
    <w:uiPriority w:val="0"/>
    <w:pPr>
      <w:ind w:left="100" w:leftChars="2500"/>
    </w:pPr>
    <w:rPr>
      <w:rFonts w:asciiTheme="minorHAnsi" w:hAnsiTheme="minorHAnsi" w:cstheme="minorBidi"/>
    </w:rPr>
  </w:style>
  <w:style w:type="paragraph" w:styleId="25">
    <w:name w:val="Body Text Indent 2"/>
    <w:basedOn w:val="1"/>
    <w:link w:val="147"/>
    <w:qFormat/>
    <w:uiPriority w:val="0"/>
    <w:pPr>
      <w:ind w:firstLine="624"/>
    </w:pPr>
    <w:rPr>
      <w:rFonts w:ascii="仿宋_GB2312" w:eastAsia="仿宋_GB2312" w:hAnsiTheme="minorHAnsi" w:cstheme="minorBidi"/>
      <w:sz w:val="28"/>
    </w:rPr>
  </w:style>
  <w:style w:type="paragraph" w:styleId="26">
    <w:name w:val="endnote text"/>
    <w:basedOn w:val="1"/>
    <w:link w:val="148"/>
    <w:qFormat/>
    <w:uiPriority w:val="0"/>
    <w:pPr>
      <w:snapToGrid w:val="0"/>
      <w:jc w:val="left"/>
    </w:pPr>
    <w:rPr>
      <w:rFonts w:asciiTheme="minorHAnsi" w:hAnsiTheme="minorHAnsi" w:cstheme="minorBidi"/>
    </w:rPr>
  </w:style>
  <w:style w:type="paragraph" w:styleId="27">
    <w:name w:val="Balloon Text"/>
    <w:basedOn w:val="1"/>
    <w:link w:val="149"/>
    <w:semiHidden/>
    <w:qFormat/>
    <w:uiPriority w:val="0"/>
    <w:rPr>
      <w:rFonts w:asciiTheme="minorHAnsi" w:hAnsiTheme="minorHAnsi" w:cstheme="minorBidi"/>
      <w:sz w:val="18"/>
      <w:szCs w:val="18"/>
    </w:rPr>
  </w:style>
  <w:style w:type="paragraph" w:styleId="28">
    <w:name w:val="footer"/>
    <w:basedOn w:val="1"/>
    <w:link w:val="150"/>
    <w:unhideWhenUsed/>
    <w:qFormat/>
    <w:uiPriority w:val="99"/>
    <w:pPr>
      <w:tabs>
        <w:tab w:val="center" w:pos="4153"/>
        <w:tab w:val="right" w:pos="8306"/>
      </w:tabs>
      <w:snapToGrid w:val="0"/>
      <w:jc w:val="left"/>
    </w:pPr>
    <w:rPr>
      <w:rFonts w:asciiTheme="minorHAnsi" w:hAnsiTheme="minorHAnsi" w:cstheme="minorBidi"/>
      <w:sz w:val="18"/>
      <w:szCs w:val="18"/>
    </w:rPr>
  </w:style>
  <w:style w:type="paragraph" w:styleId="29">
    <w:name w:val="envelope return"/>
    <w:basedOn w:val="1"/>
    <w:semiHidden/>
    <w:qFormat/>
    <w:uiPriority w:val="0"/>
    <w:pPr>
      <w:snapToGrid w:val="0"/>
      <w:spacing w:after="200" w:line="276" w:lineRule="auto"/>
    </w:pPr>
    <w:rPr>
      <w:rFonts w:ascii="Arial" w:hAnsi="Arial" w:cs="Arial"/>
      <w:sz w:val="22"/>
      <w:szCs w:val="22"/>
      <w:lang w:eastAsia="en-US" w:bidi="en-US"/>
    </w:rPr>
  </w:style>
  <w:style w:type="paragraph" w:styleId="30">
    <w:name w:val="header"/>
    <w:basedOn w:val="1"/>
    <w:link w:val="141"/>
    <w:unhideWhenUsed/>
    <w:qFormat/>
    <w:uiPriority w:val="99"/>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paragraph" w:styleId="31">
    <w:name w:val="toc 1"/>
    <w:basedOn w:val="1"/>
    <w:next w:val="1"/>
    <w:unhideWhenUsed/>
    <w:qFormat/>
    <w:uiPriority w:val="99"/>
    <w:pPr>
      <w:spacing w:before="120" w:after="120"/>
      <w:jc w:val="left"/>
    </w:pPr>
    <w:rPr>
      <w:b/>
      <w:bCs/>
      <w:caps/>
      <w:sz w:val="20"/>
      <w:szCs w:val="20"/>
    </w:rPr>
  </w:style>
  <w:style w:type="paragraph" w:styleId="32">
    <w:name w:val="toc 4"/>
    <w:basedOn w:val="1"/>
    <w:next w:val="1"/>
    <w:unhideWhenUsed/>
    <w:qFormat/>
    <w:uiPriority w:val="39"/>
    <w:pPr>
      <w:ind w:left="1260" w:leftChars="600"/>
    </w:pPr>
  </w:style>
  <w:style w:type="paragraph" w:styleId="33">
    <w:name w:val="footnote text"/>
    <w:basedOn w:val="1"/>
    <w:link w:val="142"/>
    <w:unhideWhenUsed/>
    <w:qFormat/>
    <w:uiPriority w:val="99"/>
    <w:pPr>
      <w:snapToGrid w:val="0"/>
      <w:jc w:val="left"/>
    </w:pPr>
    <w:rPr>
      <w:rFonts w:asciiTheme="minorHAnsi" w:hAnsiTheme="minorHAnsi" w:cstheme="minorBidi"/>
      <w:sz w:val="18"/>
      <w:szCs w:val="18"/>
    </w:rPr>
  </w:style>
  <w:style w:type="paragraph" w:styleId="34">
    <w:name w:val="toc 6"/>
    <w:basedOn w:val="1"/>
    <w:next w:val="1"/>
    <w:unhideWhenUsed/>
    <w:qFormat/>
    <w:uiPriority w:val="39"/>
    <w:pPr>
      <w:ind w:left="2100" w:leftChars="1000"/>
    </w:pPr>
    <w:rPr>
      <w:szCs w:val="22"/>
    </w:rPr>
  </w:style>
  <w:style w:type="paragraph" w:styleId="35">
    <w:name w:val="Body Text Indent 3"/>
    <w:basedOn w:val="1"/>
    <w:link w:val="144"/>
    <w:qFormat/>
    <w:uiPriority w:val="0"/>
    <w:pPr>
      <w:spacing w:after="120"/>
      <w:ind w:left="420" w:leftChars="200"/>
    </w:pPr>
    <w:rPr>
      <w:rFonts w:asciiTheme="minorHAnsi" w:hAnsiTheme="minorHAnsi" w:cstheme="minorBidi"/>
      <w:sz w:val="16"/>
      <w:szCs w:val="16"/>
    </w:rPr>
  </w:style>
  <w:style w:type="paragraph" w:styleId="36">
    <w:name w:val="toc 9"/>
    <w:basedOn w:val="1"/>
    <w:next w:val="1"/>
    <w:unhideWhenUsed/>
    <w:qFormat/>
    <w:uiPriority w:val="39"/>
    <w:pPr>
      <w:ind w:left="3360" w:leftChars="1600"/>
    </w:pPr>
    <w:rPr>
      <w:szCs w:val="22"/>
    </w:rPr>
  </w:style>
  <w:style w:type="paragraph" w:styleId="37">
    <w:name w:val="Body Text 2"/>
    <w:basedOn w:val="1"/>
    <w:next w:val="18"/>
    <w:link w:val="146"/>
    <w:qFormat/>
    <w:uiPriority w:val="0"/>
    <w:rPr>
      <w:rFonts w:ascii="宋体" w:hAnsi="宋体" w:cstheme="minorBidi"/>
      <w:sz w:val="28"/>
    </w:rPr>
  </w:style>
  <w:style w:type="paragraph" w:styleId="38">
    <w:name w:val="Message Header"/>
    <w:basedOn w:val="1"/>
    <w:link w:val="140"/>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9">
    <w:name w:val="Normal (Web)"/>
    <w:basedOn w:val="1"/>
    <w:qFormat/>
    <w:uiPriority w:val="99"/>
    <w:pPr>
      <w:widowControl/>
      <w:spacing w:before="100" w:beforeAutospacing="1" w:after="100" w:afterAutospacing="1"/>
      <w:jc w:val="left"/>
    </w:pPr>
    <w:rPr>
      <w:rFonts w:ascii="宋体" w:hAnsi="宋体" w:cs="宋体"/>
      <w:sz w:val="24"/>
    </w:rPr>
  </w:style>
  <w:style w:type="paragraph" w:styleId="40">
    <w:name w:val="Title"/>
    <w:basedOn w:val="1"/>
    <w:link w:val="133"/>
    <w:qFormat/>
    <w:uiPriority w:val="0"/>
    <w:pPr>
      <w:adjustRightInd w:val="0"/>
      <w:spacing w:before="240" w:after="60" w:line="420" w:lineRule="atLeast"/>
      <w:jc w:val="center"/>
      <w:textAlignment w:val="baseline"/>
      <w:outlineLvl w:val="0"/>
    </w:pPr>
    <w:rPr>
      <w:rFonts w:ascii="Arial" w:hAnsi="Arial" w:cstheme="minorBidi"/>
      <w:b/>
      <w:sz w:val="32"/>
      <w:szCs w:val="22"/>
    </w:rPr>
  </w:style>
  <w:style w:type="paragraph" w:styleId="41">
    <w:name w:val="Body Text First Indent"/>
    <w:basedOn w:val="18"/>
    <w:next w:val="1"/>
    <w:qFormat/>
    <w:uiPriority w:val="99"/>
    <w:pPr>
      <w:keepNext w:val="0"/>
      <w:keepLines w:val="0"/>
      <w:widowControl w:val="0"/>
      <w:suppressLineNumbers w:val="0"/>
      <w:spacing w:before="0" w:beforeAutospacing="0" w:after="120" w:afterAutospacing="0"/>
      <w:ind w:left="0" w:right="0" w:firstLine="420" w:firstLineChars="100"/>
      <w:jc w:val="both"/>
    </w:pPr>
  </w:style>
  <w:style w:type="paragraph" w:styleId="42">
    <w:name w:val="Body Text First Indent 2"/>
    <w:basedOn w:val="19"/>
    <w:next w:val="18"/>
    <w:link w:val="137"/>
    <w:qFormat/>
    <w:uiPriority w:val="0"/>
    <w:pPr>
      <w:ind w:firstLine="420" w:firstLineChars="200"/>
    </w:pPr>
    <w:rPr>
      <w:rFonts w:asciiTheme="minorHAnsi" w:hAnsiTheme="minorHAnsi" w:cstheme="minorBidi"/>
    </w:rPr>
  </w:style>
  <w:style w:type="table" w:styleId="44">
    <w:name w:val="Table Grid"/>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qFormat/>
    <w:uiPriority w:val="0"/>
    <w:rPr>
      <w:rFonts w:cs="Times New Roman"/>
      <w:b/>
    </w:rPr>
  </w:style>
  <w:style w:type="character" w:styleId="47">
    <w:name w:val="page number"/>
    <w:basedOn w:val="45"/>
    <w:unhideWhenUsed/>
    <w:qFormat/>
    <w:uiPriority w:val="99"/>
  </w:style>
  <w:style w:type="character" w:styleId="48">
    <w:name w:val="FollowedHyperlink"/>
    <w:unhideWhenUsed/>
    <w:qFormat/>
    <w:uiPriority w:val="99"/>
    <w:rPr>
      <w:color w:val="444444"/>
      <w:sz w:val="21"/>
      <w:szCs w:val="21"/>
      <w:u w:val="none"/>
    </w:rPr>
  </w:style>
  <w:style w:type="character" w:styleId="49">
    <w:name w:val="Emphasis"/>
    <w:basedOn w:val="45"/>
    <w:qFormat/>
    <w:uiPriority w:val="20"/>
  </w:style>
  <w:style w:type="character" w:styleId="50">
    <w:name w:val="HTML Definition"/>
    <w:basedOn w:val="45"/>
    <w:unhideWhenUsed/>
    <w:qFormat/>
    <w:uiPriority w:val="99"/>
  </w:style>
  <w:style w:type="character" w:styleId="51">
    <w:name w:val="HTML Typewriter"/>
    <w:basedOn w:val="45"/>
    <w:unhideWhenUsed/>
    <w:qFormat/>
    <w:uiPriority w:val="99"/>
    <w:rPr>
      <w:rFonts w:ascii="monospace" w:hAnsi="monospace" w:eastAsia="monospace" w:cs="monospace"/>
      <w:sz w:val="20"/>
    </w:rPr>
  </w:style>
  <w:style w:type="character" w:styleId="52">
    <w:name w:val="HTML Acronym"/>
    <w:basedOn w:val="45"/>
    <w:unhideWhenUsed/>
    <w:qFormat/>
    <w:uiPriority w:val="99"/>
  </w:style>
  <w:style w:type="character" w:styleId="53">
    <w:name w:val="HTML Variable"/>
    <w:basedOn w:val="45"/>
    <w:unhideWhenUsed/>
    <w:qFormat/>
    <w:uiPriority w:val="99"/>
  </w:style>
  <w:style w:type="character" w:styleId="54">
    <w:name w:val="Hyperlink"/>
    <w:unhideWhenUsed/>
    <w:qFormat/>
    <w:uiPriority w:val="99"/>
    <w:rPr>
      <w:color w:val="444444"/>
      <w:sz w:val="21"/>
      <w:szCs w:val="21"/>
      <w:u w:val="none"/>
    </w:rPr>
  </w:style>
  <w:style w:type="character" w:styleId="55">
    <w:name w:val="HTML Code"/>
    <w:basedOn w:val="45"/>
    <w:unhideWhenUsed/>
    <w:qFormat/>
    <w:uiPriority w:val="99"/>
    <w:rPr>
      <w:rFonts w:hint="default" w:ascii="monospace" w:hAnsi="monospace" w:eastAsia="monospace" w:cs="monospace"/>
      <w:sz w:val="20"/>
    </w:rPr>
  </w:style>
  <w:style w:type="character" w:styleId="56">
    <w:name w:val="HTML Cite"/>
    <w:basedOn w:val="45"/>
    <w:unhideWhenUsed/>
    <w:qFormat/>
    <w:uiPriority w:val="99"/>
  </w:style>
  <w:style w:type="character" w:styleId="57">
    <w:name w:val="footnote reference"/>
    <w:unhideWhenUsed/>
    <w:qFormat/>
    <w:uiPriority w:val="99"/>
    <w:rPr>
      <w:vertAlign w:val="superscript"/>
    </w:rPr>
  </w:style>
  <w:style w:type="character" w:styleId="58">
    <w:name w:val="HTML Keyboard"/>
    <w:basedOn w:val="45"/>
    <w:unhideWhenUsed/>
    <w:qFormat/>
    <w:uiPriority w:val="99"/>
    <w:rPr>
      <w:rFonts w:hint="default" w:ascii="monospace" w:hAnsi="monospace" w:eastAsia="monospace" w:cs="monospace"/>
      <w:sz w:val="20"/>
    </w:rPr>
  </w:style>
  <w:style w:type="character" w:styleId="59">
    <w:name w:val="HTML Sample"/>
    <w:basedOn w:val="45"/>
    <w:unhideWhenUsed/>
    <w:qFormat/>
    <w:uiPriority w:val="99"/>
    <w:rPr>
      <w:rFonts w:hint="default" w:ascii="monospace" w:hAnsi="monospace" w:eastAsia="monospace" w:cs="monospace"/>
    </w:rPr>
  </w:style>
  <w:style w:type="paragraph" w:customStyle="1" w:styleId="60">
    <w:name w:val="Default"/>
    <w:next w:val="6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1">
    <w:name w:val="大标题"/>
    <w:basedOn w:val="1"/>
    <w:next w:val="42"/>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62">
    <w:name w:val="无间隔1"/>
    <w:basedOn w:val="1"/>
    <w:qFormat/>
    <w:uiPriority w:val="1"/>
    <w:pPr>
      <w:spacing w:line="400" w:lineRule="exact"/>
    </w:pPr>
    <w:rPr>
      <w:sz w:val="24"/>
    </w:rPr>
  </w:style>
  <w:style w:type="paragraph" w:customStyle="1" w:styleId="63">
    <w:name w:val="BodyText1I"/>
    <w:basedOn w:val="64"/>
    <w:qFormat/>
    <w:uiPriority w:val="99"/>
    <w:pPr>
      <w:spacing w:line="360" w:lineRule="auto"/>
      <w:ind w:right="-24" w:rightChars="-10" w:firstLine="425" w:firstLineChars="225"/>
    </w:pPr>
    <w:rPr>
      <w:rFonts w:ascii="Arial" w:eastAsia="仿宋_GB2312"/>
      <w:kern w:val="0"/>
      <w:sz w:val="24"/>
      <w:szCs w:val="32"/>
    </w:rPr>
  </w:style>
  <w:style w:type="paragraph" w:customStyle="1" w:styleId="64">
    <w:name w:val="BodyText"/>
    <w:basedOn w:val="1"/>
    <w:next w:val="65"/>
    <w:qFormat/>
    <w:uiPriority w:val="0"/>
    <w:rPr>
      <w:rFonts w:ascii="宋体" w:hAnsi="Arial"/>
      <w:sz w:val="28"/>
    </w:rPr>
  </w:style>
  <w:style w:type="paragraph" w:customStyle="1" w:styleId="65">
    <w:name w:val="UserStyle_16"/>
    <w:qFormat/>
    <w:uiPriority w:val="0"/>
    <w:pPr>
      <w:textAlignment w:val="baseline"/>
    </w:pPr>
    <w:rPr>
      <w:rFonts w:ascii="宋体" w:hAnsi="Times New Roman" w:eastAsia="宋体" w:cstheme="minorBidi"/>
      <w:color w:val="000000"/>
      <w:sz w:val="24"/>
      <w:szCs w:val="24"/>
      <w:lang w:val="en-US" w:eastAsia="zh-CN" w:bidi="ar-SA"/>
    </w:rPr>
  </w:style>
  <w:style w:type="paragraph" w:customStyle="1" w:styleId="66">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character" w:customStyle="1" w:styleId="67">
    <w:name w:val="标题 1 Char"/>
    <w:basedOn w:val="45"/>
    <w:link w:val="2"/>
    <w:qFormat/>
    <w:uiPriority w:val="99"/>
    <w:rPr>
      <w:rFonts w:ascii="Calibri" w:hAnsi="Calibri" w:eastAsia="宋体" w:cs="Times New Roman"/>
      <w:b/>
      <w:bCs/>
      <w:kern w:val="44"/>
      <w:sz w:val="44"/>
      <w:szCs w:val="44"/>
    </w:rPr>
  </w:style>
  <w:style w:type="character" w:customStyle="1" w:styleId="68">
    <w:name w:val="标题 2 Char"/>
    <w:basedOn w:val="45"/>
    <w:link w:val="3"/>
    <w:qFormat/>
    <w:uiPriority w:val="99"/>
    <w:rPr>
      <w:rFonts w:ascii="Arial" w:hAnsi="Arial" w:eastAsia="黑体" w:cs="Times New Roman"/>
      <w:b/>
      <w:bCs/>
      <w:kern w:val="0"/>
      <w:sz w:val="32"/>
      <w:szCs w:val="32"/>
    </w:rPr>
  </w:style>
  <w:style w:type="character" w:customStyle="1" w:styleId="69">
    <w:name w:val="标题 3 Char"/>
    <w:basedOn w:val="45"/>
    <w:link w:val="4"/>
    <w:qFormat/>
    <w:uiPriority w:val="99"/>
    <w:rPr>
      <w:rFonts w:ascii="Times New Roman" w:hAnsi="Times New Roman" w:eastAsia="宋体" w:cs="Times New Roman"/>
      <w:b/>
      <w:bCs/>
      <w:kern w:val="0"/>
      <w:sz w:val="32"/>
      <w:szCs w:val="32"/>
    </w:rPr>
  </w:style>
  <w:style w:type="character" w:customStyle="1" w:styleId="70">
    <w:name w:val="标题 4 Char"/>
    <w:basedOn w:val="45"/>
    <w:link w:val="5"/>
    <w:qFormat/>
    <w:uiPriority w:val="0"/>
    <w:rPr>
      <w:rFonts w:ascii="Arial" w:hAnsi="Arial" w:eastAsia="黑体" w:cs="Times New Roman"/>
      <w:b/>
      <w:bCs/>
      <w:kern w:val="0"/>
      <w:sz w:val="28"/>
      <w:szCs w:val="28"/>
    </w:rPr>
  </w:style>
  <w:style w:type="character" w:customStyle="1" w:styleId="71">
    <w:name w:val="标题 5 Char"/>
    <w:basedOn w:val="45"/>
    <w:link w:val="6"/>
    <w:qFormat/>
    <w:uiPriority w:val="9"/>
    <w:rPr>
      <w:rFonts w:ascii="Calibri" w:hAnsi="Calibri" w:eastAsia="宋体" w:cs="Times New Roman"/>
      <w:b/>
      <w:bCs/>
      <w:kern w:val="0"/>
      <w:sz w:val="28"/>
      <w:szCs w:val="28"/>
    </w:rPr>
  </w:style>
  <w:style w:type="character" w:customStyle="1" w:styleId="72">
    <w:name w:val="标题 6 Char"/>
    <w:basedOn w:val="45"/>
    <w:link w:val="7"/>
    <w:qFormat/>
    <w:uiPriority w:val="0"/>
    <w:rPr>
      <w:rFonts w:ascii="Arial" w:hAnsi="Arial" w:eastAsia="黑体" w:cs="Times New Roman"/>
      <w:b/>
      <w:bCs/>
      <w:kern w:val="0"/>
      <w:sz w:val="24"/>
      <w:szCs w:val="24"/>
    </w:rPr>
  </w:style>
  <w:style w:type="character" w:customStyle="1" w:styleId="73">
    <w:name w:val="标题 7 Char"/>
    <w:basedOn w:val="45"/>
    <w:link w:val="8"/>
    <w:qFormat/>
    <w:uiPriority w:val="0"/>
    <w:rPr>
      <w:rFonts w:ascii="Calibri" w:hAnsi="Calibri" w:eastAsia="宋体" w:cs="Times New Roman"/>
      <w:b/>
      <w:bCs/>
      <w:kern w:val="0"/>
      <w:sz w:val="24"/>
      <w:szCs w:val="24"/>
    </w:rPr>
  </w:style>
  <w:style w:type="character" w:customStyle="1" w:styleId="74">
    <w:name w:val="标题 8 Char"/>
    <w:basedOn w:val="45"/>
    <w:link w:val="9"/>
    <w:qFormat/>
    <w:uiPriority w:val="0"/>
    <w:rPr>
      <w:rFonts w:ascii="Arial" w:hAnsi="Arial" w:eastAsia="黑体" w:cs="Times New Roman"/>
      <w:kern w:val="0"/>
      <w:sz w:val="24"/>
      <w:szCs w:val="24"/>
    </w:rPr>
  </w:style>
  <w:style w:type="character" w:customStyle="1" w:styleId="75">
    <w:name w:val="标题 9 Char"/>
    <w:basedOn w:val="45"/>
    <w:link w:val="10"/>
    <w:qFormat/>
    <w:uiPriority w:val="0"/>
    <w:rPr>
      <w:rFonts w:ascii="Arial" w:hAnsi="Arial" w:eastAsia="黑体" w:cs="Times New Roman"/>
      <w:kern w:val="0"/>
      <w:sz w:val="20"/>
      <w:szCs w:val="21"/>
    </w:rPr>
  </w:style>
  <w:style w:type="character" w:customStyle="1" w:styleId="76">
    <w:name w:val="hover15"/>
    <w:basedOn w:val="45"/>
    <w:qFormat/>
    <w:uiPriority w:val="0"/>
  </w:style>
  <w:style w:type="character" w:customStyle="1" w:styleId="77">
    <w:name w:val="批注框文本 Char"/>
    <w:link w:val="27"/>
    <w:semiHidden/>
    <w:qFormat/>
    <w:uiPriority w:val="0"/>
    <w:rPr>
      <w:rFonts w:eastAsia="宋体"/>
      <w:sz w:val="18"/>
      <w:szCs w:val="18"/>
    </w:rPr>
  </w:style>
  <w:style w:type="character" w:customStyle="1" w:styleId="78">
    <w:name w:val="html_txt1"/>
    <w:qFormat/>
    <w:uiPriority w:val="0"/>
    <w:rPr>
      <w:color w:val="000000"/>
    </w:rPr>
  </w:style>
  <w:style w:type="character" w:customStyle="1" w:styleId="79">
    <w:name w:val="页眉 Char1"/>
    <w:semiHidden/>
    <w:qFormat/>
    <w:uiPriority w:val="99"/>
    <w:rPr>
      <w:rFonts w:ascii="Calibri" w:hAnsi="Calibri" w:eastAsia="宋体" w:cs="Times New Roman"/>
      <w:sz w:val="18"/>
      <w:szCs w:val="18"/>
    </w:rPr>
  </w:style>
  <w:style w:type="character" w:customStyle="1" w:styleId="80">
    <w:name w:val="标题 Char1"/>
    <w:qFormat/>
    <w:uiPriority w:val="10"/>
    <w:rPr>
      <w:rFonts w:ascii="Cambria" w:hAnsi="Cambria" w:eastAsia="宋体" w:cs="Times New Roman"/>
      <w:b/>
      <w:bCs/>
      <w:sz w:val="32"/>
      <w:szCs w:val="32"/>
    </w:rPr>
  </w:style>
  <w:style w:type="character" w:customStyle="1" w:styleId="81">
    <w:name w:val="纯文本 Char1"/>
    <w:semiHidden/>
    <w:qFormat/>
    <w:uiPriority w:val="99"/>
    <w:rPr>
      <w:rFonts w:ascii="宋体" w:hAnsi="Courier New" w:eastAsia="宋体" w:cs="Courier New"/>
      <w:szCs w:val="21"/>
    </w:rPr>
  </w:style>
  <w:style w:type="character" w:customStyle="1" w:styleId="82">
    <w:name w:val="hover"/>
    <w:basedOn w:val="45"/>
    <w:qFormat/>
    <w:uiPriority w:val="0"/>
  </w:style>
  <w:style w:type="character" w:customStyle="1" w:styleId="83">
    <w:name w:val="页脚 Char1"/>
    <w:semiHidden/>
    <w:qFormat/>
    <w:uiPriority w:val="99"/>
    <w:rPr>
      <w:rFonts w:ascii="Calibri" w:hAnsi="Calibri" w:eastAsia="宋体" w:cs="Times New Roman"/>
      <w:sz w:val="18"/>
      <w:szCs w:val="18"/>
    </w:rPr>
  </w:style>
  <w:style w:type="character" w:customStyle="1" w:styleId="84">
    <w:name w:val="正文文本缩进 3 Char"/>
    <w:link w:val="35"/>
    <w:qFormat/>
    <w:uiPriority w:val="0"/>
    <w:rPr>
      <w:rFonts w:eastAsia="宋体"/>
      <w:sz w:val="16"/>
      <w:szCs w:val="16"/>
    </w:rPr>
  </w:style>
  <w:style w:type="character" w:customStyle="1" w:styleId="85">
    <w:name w:val="hover34"/>
    <w:basedOn w:val="45"/>
    <w:qFormat/>
    <w:uiPriority w:val="0"/>
    <w:rPr>
      <w:color w:val="5FB878"/>
    </w:rPr>
  </w:style>
  <w:style w:type="character" w:customStyle="1" w:styleId="86">
    <w:name w:val="文档结构图 Char1"/>
    <w:semiHidden/>
    <w:qFormat/>
    <w:uiPriority w:val="99"/>
    <w:rPr>
      <w:rFonts w:ascii="宋体" w:hAnsi="Calibri" w:eastAsia="宋体" w:cs="Times New Roman"/>
      <w:sz w:val="18"/>
      <w:szCs w:val="18"/>
    </w:rPr>
  </w:style>
  <w:style w:type="character" w:customStyle="1" w:styleId="87">
    <w:name w:val="正文文本缩进 2 Char1"/>
    <w:semiHidden/>
    <w:qFormat/>
    <w:uiPriority w:val="99"/>
    <w:rPr>
      <w:rFonts w:ascii="Calibri" w:hAnsi="Calibri" w:eastAsia="宋体" w:cs="Times New Roman"/>
      <w:szCs w:val="24"/>
    </w:rPr>
  </w:style>
  <w:style w:type="character" w:customStyle="1" w:styleId="88">
    <w:name w:val="正文文本 2 Char"/>
    <w:link w:val="37"/>
    <w:qFormat/>
    <w:uiPriority w:val="0"/>
    <w:rPr>
      <w:rFonts w:ascii="宋体" w:hAnsi="宋体" w:eastAsia="宋体"/>
      <w:sz w:val="28"/>
      <w:szCs w:val="24"/>
    </w:rPr>
  </w:style>
  <w:style w:type="character" w:customStyle="1" w:styleId="89">
    <w:name w:val="hover2"/>
    <w:basedOn w:val="45"/>
    <w:qFormat/>
    <w:uiPriority w:val="0"/>
    <w:rPr>
      <w:color w:val="2590EB"/>
    </w:rPr>
  </w:style>
  <w:style w:type="character" w:customStyle="1" w:styleId="90">
    <w:name w:val="正文文本 Char"/>
    <w:link w:val="18"/>
    <w:qFormat/>
    <w:uiPriority w:val="0"/>
    <w:rPr>
      <w:rFonts w:eastAsia="宋体"/>
      <w:szCs w:val="24"/>
    </w:rPr>
  </w:style>
  <w:style w:type="character" w:customStyle="1" w:styleId="91">
    <w:name w:val="批注框文本 Char1"/>
    <w:semiHidden/>
    <w:qFormat/>
    <w:uiPriority w:val="99"/>
    <w:rPr>
      <w:rFonts w:ascii="Calibri" w:hAnsi="Calibri" w:eastAsia="宋体" w:cs="Times New Roman"/>
      <w:sz w:val="18"/>
      <w:szCs w:val="18"/>
    </w:rPr>
  </w:style>
  <w:style w:type="character" w:customStyle="1" w:styleId="92">
    <w:name w:val="正文文本缩进 3 Char1"/>
    <w:semiHidden/>
    <w:qFormat/>
    <w:uiPriority w:val="99"/>
    <w:rPr>
      <w:rFonts w:ascii="Calibri" w:hAnsi="Calibri" w:eastAsia="宋体" w:cs="Times New Roman"/>
      <w:sz w:val="16"/>
      <w:szCs w:val="16"/>
    </w:rPr>
  </w:style>
  <w:style w:type="character" w:customStyle="1" w:styleId="93">
    <w:name w:val="脚注文本 Char1"/>
    <w:semiHidden/>
    <w:qFormat/>
    <w:uiPriority w:val="99"/>
    <w:rPr>
      <w:rFonts w:ascii="Calibri" w:hAnsi="Calibri" w:eastAsia="宋体" w:cs="Times New Roman"/>
      <w:sz w:val="18"/>
      <w:szCs w:val="18"/>
    </w:rPr>
  </w:style>
  <w:style w:type="character" w:customStyle="1" w:styleId="94">
    <w:name w:val="font01"/>
    <w:qFormat/>
    <w:uiPriority w:val="0"/>
    <w:rPr>
      <w:rFonts w:hint="eastAsia" w:ascii="宋体" w:hAnsi="宋体" w:eastAsia="宋体" w:cs="宋体"/>
      <w:color w:val="000000"/>
      <w:sz w:val="24"/>
      <w:szCs w:val="24"/>
      <w:u w:val="none"/>
    </w:rPr>
  </w:style>
  <w:style w:type="character" w:customStyle="1" w:styleId="95">
    <w:name w:val="尾注文本 Char1"/>
    <w:semiHidden/>
    <w:qFormat/>
    <w:uiPriority w:val="99"/>
    <w:rPr>
      <w:rFonts w:ascii="Calibri" w:hAnsi="Calibri" w:eastAsia="宋体" w:cs="Times New Roman"/>
      <w:szCs w:val="24"/>
    </w:rPr>
  </w:style>
  <w:style w:type="character" w:customStyle="1" w:styleId="96">
    <w:name w:val="正文文本缩进 Char1"/>
    <w:semiHidden/>
    <w:qFormat/>
    <w:uiPriority w:val="99"/>
    <w:rPr>
      <w:rFonts w:ascii="Calibri" w:hAnsi="Calibri" w:eastAsia="宋体" w:cs="Times New Roman"/>
      <w:szCs w:val="24"/>
    </w:rPr>
  </w:style>
  <w:style w:type="character" w:customStyle="1" w:styleId="97">
    <w:name w:val="标题4 Char"/>
    <w:link w:val="98"/>
    <w:qFormat/>
    <w:uiPriority w:val="0"/>
    <w:rPr>
      <w:kern w:val="0"/>
      <w:sz w:val="28"/>
      <w:szCs w:val="20"/>
    </w:rPr>
  </w:style>
  <w:style w:type="paragraph" w:customStyle="1" w:styleId="98">
    <w:name w:val="标题4"/>
    <w:basedOn w:val="1"/>
    <w:next w:val="1"/>
    <w:link w:val="97"/>
    <w:qFormat/>
    <w:uiPriority w:val="0"/>
    <w:pPr>
      <w:spacing w:line="360" w:lineRule="auto"/>
      <w:ind w:firstLine="105" w:firstLineChars="50"/>
      <w:jc w:val="left"/>
    </w:pPr>
    <w:rPr>
      <w:rFonts w:asciiTheme="minorHAnsi" w:hAnsiTheme="minorHAnsi" w:eastAsiaTheme="minorEastAsia" w:cstheme="minorBidi"/>
      <w:kern w:val="0"/>
      <w:sz w:val="28"/>
      <w:szCs w:val="20"/>
    </w:rPr>
  </w:style>
  <w:style w:type="character" w:customStyle="1" w:styleId="99">
    <w:name w:val="zw Char"/>
    <w:link w:val="100"/>
    <w:qFormat/>
    <w:uiPriority w:val="0"/>
    <w:rPr>
      <w:rFonts w:ascii="宋体" w:hAnsi="宋体" w:cs="宋体"/>
      <w:color w:val="000000"/>
      <w:kern w:val="0"/>
      <w:sz w:val="24"/>
    </w:rPr>
  </w:style>
  <w:style w:type="paragraph" w:customStyle="1" w:styleId="100">
    <w:name w:val="zw"/>
    <w:basedOn w:val="1"/>
    <w:link w:val="99"/>
    <w:qFormat/>
    <w:uiPriority w:val="0"/>
    <w:pPr>
      <w:widowControl/>
      <w:spacing w:before="100" w:beforeAutospacing="1" w:after="100" w:afterAutospacing="1"/>
      <w:jc w:val="left"/>
    </w:pPr>
    <w:rPr>
      <w:rFonts w:ascii="宋体" w:hAnsi="宋体" w:cs="宋体" w:eastAsiaTheme="minorEastAsia"/>
      <w:color w:val="000000"/>
      <w:kern w:val="0"/>
      <w:sz w:val="24"/>
      <w:szCs w:val="22"/>
    </w:rPr>
  </w:style>
  <w:style w:type="character" w:customStyle="1" w:styleId="101">
    <w:name w:val="正文文本 3 Char"/>
    <w:link w:val="17"/>
    <w:qFormat/>
    <w:uiPriority w:val="99"/>
    <w:rPr>
      <w:rFonts w:ascii="宋体" w:eastAsia="宋体"/>
      <w:sz w:val="24"/>
    </w:rPr>
  </w:style>
  <w:style w:type="character" w:customStyle="1" w:styleId="102">
    <w:name w:val="脚注文本 Char"/>
    <w:link w:val="33"/>
    <w:qFormat/>
    <w:uiPriority w:val="99"/>
    <w:rPr>
      <w:rFonts w:eastAsia="宋体"/>
      <w:sz w:val="18"/>
      <w:szCs w:val="18"/>
    </w:rPr>
  </w:style>
  <w:style w:type="character" w:customStyle="1" w:styleId="103">
    <w:name w:val="页眉 Char"/>
    <w:link w:val="30"/>
    <w:qFormat/>
    <w:uiPriority w:val="99"/>
    <w:rPr>
      <w:rFonts w:eastAsia="宋体"/>
      <w:sz w:val="18"/>
      <w:szCs w:val="18"/>
    </w:rPr>
  </w:style>
  <w:style w:type="character" w:customStyle="1" w:styleId="104">
    <w:name w:val="样式 标题 2 + Times New Roman 四号 非加粗 段前: 5 磅 段后: 0 磅 行距: 固定值 20... Char"/>
    <w:link w:val="105"/>
    <w:qFormat/>
    <w:uiPriority w:val="0"/>
    <w:rPr>
      <w:rFonts w:ascii="Times New Roman" w:hAnsi="Times New Roman" w:cs="宋体"/>
      <w:b/>
      <w:bCs/>
      <w:sz w:val="28"/>
      <w:szCs w:val="20"/>
    </w:rPr>
  </w:style>
  <w:style w:type="paragraph" w:customStyle="1" w:styleId="105">
    <w:name w:val="样式 标题 2 + Times New Roman 四号 非加粗 段前: 5 磅 段后: 0 磅 行距: 固定值 20..."/>
    <w:basedOn w:val="3"/>
    <w:link w:val="104"/>
    <w:qFormat/>
    <w:uiPriority w:val="0"/>
    <w:pPr>
      <w:spacing w:before="100" w:after="0" w:line="400" w:lineRule="exact"/>
    </w:pPr>
    <w:rPr>
      <w:rFonts w:ascii="Times New Roman" w:hAnsi="Times New Roman" w:cs="宋体" w:eastAsiaTheme="minorEastAsia"/>
      <w:kern w:val="2"/>
      <w:sz w:val="28"/>
      <w:szCs w:val="20"/>
    </w:rPr>
  </w:style>
  <w:style w:type="character" w:customStyle="1" w:styleId="106">
    <w:name w:val="纯文本 Char"/>
    <w:link w:val="22"/>
    <w:qFormat/>
    <w:uiPriority w:val="99"/>
    <w:rPr>
      <w:rFonts w:ascii="Courier New" w:hAnsi="Courier New" w:eastAsia="宋体"/>
    </w:rPr>
  </w:style>
  <w:style w:type="character" w:customStyle="1" w:styleId="107">
    <w:name w:val="mail-contents"/>
    <w:basedOn w:val="45"/>
    <w:qFormat/>
    <w:uiPriority w:val="0"/>
  </w:style>
  <w:style w:type="character" w:customStyle="1" w:styleId="108">
    <w:name w:val="15"/>
    <w:qFormat/>
    <w:uiPriority w:val="0"/>
    <w:rPr>
      <w:rFonts w:hint="default" w:ascii="Times New Roman" w:hAnsi="Times New Roman" w:cs="Times New Roman"/>
      <w:color w:val="0000FF"/>
      <w:u w:val="single"/>
    </w:rPr>
  </w:style>
  <w:style w:type="character" w:customStyle="1" w:styleId="109">
    <w:name w:val="标题 Char"/>
    <w:link w:val="40"/>
    <w:qFormat/>
    <w:uiPriority w:val="0"/>
    <w:rPr>
      <w:rFonts w:ascii="Arial" w:hAnsi="Arial" w:eastAsia="宋体"/>
      <w:b/>
      <w:sz w:val="32"/>
    </w:rPr>
  </w:style>
  <w:style w:type="character" w:customStyle="1" w:styleId="110">
    <w:name w:val="正文首行缩进 2 Char"/>
    <w:basedOn w:val="111"/>
    <w:link w:val="42"/>
    <w:qFormat/>
    <w:uiPriority w:val="0"/>
  </w:style>
  <w:style w:type="character" w:customStyle="1" w:styleId="111">
    <w:name w:val="正文文本缩进 Char"/>
    <w:qFormat/>
    <w:uiPriority w:val="0"/>
    <w:rPr>
      <w:rFonts w:eastAsia="宋体"/>
      <w:szCs w:val="24"/>
    </w:rPr>
  </w:style>
  <w:style w:type="character" w:customStyle="1" w:styleId="112">
    <w:name w:val="批注文字 Char"/>
    <w:link w:val="16"/>
    <w:qFormat/>
    <w:uiPriority w:val="0"/>
    <w:rPr>
      <w:rFonts w:eastAsia="宋体"/>
      <w:szCs w:val="24"/>
    </w:rPr>
  </w:style>
  <w:style w:type="character" w:customStyle="1" w:styleId="113">
    <w:name w:val="hover35"/>
    <w:basedOn w:val="45"/>
    <w:qFormat/>
    <w:uiPriority w:val="0"/>
    <w:rPr>
      <w:color w:val="5FB878"/>
    </w:rPr>
  </w:style>
  <w:style w:type="character" w:customStyle="1" w:styleId="114">
    <w:name w:val="hover1"/>
    <w:basedOn w:val="45"/>
    <w:qFormat/>
    <w:uiPriority w:val="0"/>
    <w:rPr>
      <w:color w:val="2590EB"/>
    </w:rPr>
  </w:style>
  <w:style w:type="character" w:customStyle="1" w:styleId="115">
    <w:name w:val="尾注文本 Char"/>
    <w:link w:val="26"/>
    <w:qFormat/>
    <w:uiPriority w:val="0"/>
    <w:rPr>
      <w:rFonts w:eastAsia="宋体"/>
      <w:szCs w:val="24"/>
    </w:rPr>
  </w:style>
  <w:style w:type="character" w:customStyle="1" w:styleId="116">
    <w:name w:val="layui-this4"/>
    <w:basedOn w:val="45"/>
    <w:qFormat/>
    <w:uiPriority w:val="0"/>
    <w:rPr>
      <w:bdr w:val="single" w:color="EEEEEE" w:sz="6" w:space="0"/>
      <w:shd w:val="clear" w:color="auto" w:fill="FFFFFF"/>
    </w:rPr>
  </w:style>
  <w:style w:type="character" w:customStyle="1" w:styleId="117">
    <w:name w:val="文档结构图 Char"/>
    <w:link w:val="15"/>
    <w:qFormat/>
    <w:uiPriority w:val="0"/>
    <w:rPr>
      <w:rFonts w:eastAsia="宋体"/>
      <w:szCs w:val="24"/>
      <w:shd w:val="clear" w:color="auto" w:fill="000080"/>
    </w:rPr>
  </w:style>
  <w:style w:type="character" w:customStyle="1" w:styleId="118">
    <w:name w:val="正文文本缩进 2 Char"/>
    <w:link w:val="25"/>
    <w:qFormat/>
    <w:uiPriority w:val="0"/>
    <w:rPr>
      <w:rFonts w:ascii="仿宋_GB2312" w:eastAsia="仿宋_GB2312"/>
      <w:sz w:val="28"/>
      <w:szCs w:val="24"/>
    </w:rPr>
  </w:style>
  <w:style w:type="character" w:customStyle="1" w:styleId="119">
    <w:name w:val="日期 Char"/>
    <w:link w:val="24"/>
    <w:qFormat/>
    <w:uiPriority w:val="0"/>
    <w:rPr>
      <w:rFonts w:eastAsia="宋体"/>
      <w:szCs w:val="24"/>
    </w:rPr>
  </w:style>
  <w:style w:type="character" w:customStyle="1" w:styleId="120">
    <w:name w:val="s5"/>
    <w:basedOn w:val="45"/>
    <w:qFormat/>
    <w:uiPriority w:val="0"/>
    <w:rPr>
      <w:spacing w:val="87"/>
    </w:rPr>
  </w:style>
  <w:style w:type="character" w:customStyle="1" w:styleId="121">
    <w:name w:val="hover36"/>
    <w:basedOn w:val="45"/>
    <w:qFormat/>
    <w:uiPriority w:val="0"/>
    <w:rPr>
      <w:color w:val="FFFFFF"/>
    </w:rPr>
  </w:style>
  <w:style w:type="character" w:customStyle="1" w:styleId="122">
    <w:name w:val="first-child"/>
    <w:basedOn w:val="45"/>
    <w:qFormat/>
    <w:uiPriority w:val="0"/>
  </w:style>
  <w:style w:type="character" w:customStyle="1" w:styleId="123">
    <w:name w:val="日期 Char1"/>
    <w:semiHidden/>
    <w:qFormat/>
    <w:uiPriority w:val="99"/>
    <w:rPr>
      <w:rFonts w:ascii="Calibri" w:hAnsi="Calibri" w:eastAsia="宋体" w:cs="Times New Roman"/>
      <w:szCs w:val="24"/>
    </w:rPr>
  </w:style>
  <w:style w:type="character" w:customStyle="1" w:styleId="124">
    <w:name w:val="正文文本 3 Char1"/>
    <w:semiHidden/>
    <w:qFormat/>
    <w:uiPriority w:val="99"/>
    <w:rPr>
      <w:rFonts w:ascii="Calibri" w:hAnsi="Calibri" w:eastAsia="宋体" w:cs="Times New Roman"/>
      <w:sz w:val="16"/>
      <w:szCs w:val="16"/>
    </w:rPr>
  </w:style>
  <w:style w:type="character" w:customStyle="1" w:styleId="125">
    <w:name w:val="mini-outputtext1"/>
    <w:basedOn w:val="45"/>
    <w:qFormat/>
    <w:uiPriority w:val="0"/>
  </w:style>
  <w:style w:type="character" w:customStyle="1" w:styleId="126">
    <w:name w:val="正文文本 2 Char1"/>
    <w:semiHidden/>
    <w:qFormat/>
    <w:uiPriority w:val="99"/>
    <w:rPr>
      <w:rFonts w:ascii="Calibri" w:hAnsi="Calibri" w:eastAsia="宋体" w:cs="Times New Roman"/>
      <w:szCs w:val="24"/>
    </w:rPr>
  </w:style>
  <w:style w:type="character" w:customStyle="1" w:styleId="127">
    <w:name w:val="hover3"/>
    <w:basedOn w:val="45"/>
    <w:qFormat/>
    <w:uiPriority w:val="0"/>
  </w:style>
  <w:style w:type="character" w:customStyle="1" w:styleId="128">
    <w:name w:val="批注文字 Char1"/>
    <w:semiHidden/>
    <w:qFormat/>
    <w:uiPriority w:val="99"/>
    <w:rPr>
      <w:rFonts w:ascii="Calibri" w:hAnsi="Calibri" w:eastAsia="宋体" w:cs="Times New Roman"/>
      <w:szCs w:val="24"/>
    </w:rPr>
  </w:style>
  <w:style w:type="character" w:customStyle="1" w:styleId="129">
    <w:name w:val="正文文本 Char1"/>
    <w:semiHidden/>
    <w:qFormat/>
    <w:uiPriority w:val="99"/>
    <w:rPr>
      <w:rFonts w:ascii="Calibri" w:hAnsi="Calibri" w:eastAsia="宋体" w:cs="Times New Roman"/>
      <w:szCs w:val="24"/>
    </w:rPr>
  </w:style>
  <w:style w:type="character" w:customStyle="1" w:styleId="130">
    <w:name w:val="layui-laypage-curr"/>
    <w:basedOn w:val="45"/>
    <w:qFormat/>
    <w:uiPriority w:val="0"/>
  </w:style>
  <w:style w:type="character" w:customStyle="1" w:styleId="131">
    <w:name w:val="hover16"/>
    <w:basedOn w:val="45"/>
    <w:qFormat/>
    <w:uiPriority w:val="0"/>
  </w:style>
  <w:style w:type="character" w:customStyle="1" w:styleId="132">
    <w:name w:val="页脚 Char"/>
    <w:link w:val="28"/>
    <w:qFormat/>
    <w:uiPriority w:val="99"/>
    <w:rPr>
      <w:rFonts w:eastAsia="宋体"/>
      <w:sz w:val="18"/>
      <w:szCs w:val="18"/>
    </w:rPr>
  </w:style>
  <w:style w:type="character" w:customStyle="1" w:styleId="133">
    <w:name w:val="标题 Char2"/>
    <w:basedOn w:val="45"/>
    <w:link w:val="40"/>
    <w:qFormat/>
    <w:uiPriority w:val="10"/>
    <w:rPr>
      <w:rFonts w:eastAsia="宋体" w:asciiTheme="majorHAnsi" w:hAnsiTheme="majorHAnsi" w:cstheme="majorBidi"/>
      <w:b/>
      <w:bCs/>
      <w:sz w:val="32"/>
      <w:szCs w:val="32"/>
    </w:rPr>
  </w:style>
  <w:style w:type="character" w:customStyle="1" w:styleId="134">
    <w:name w:val="正文文本 3 Char2"/>
    <w:basedOn w:val="45"/>
    <w:link w:val="17"/>
    <w:semiHidden/>
    <w:qFormat/>
    <w:uiPriority w:val="99"/>
    <w:rPr>
      <w:rFonts w:ascii="Times New Roman" w:hAnsi="Times New Roman" w:eastAsia="宋体" w:cs="Times New Roman"/>
      <w:sz w:val="16"/>
      <w:szCs w:val="16"/>
    </w:rPr>
  </w:style>
  <w:style w:type="character" w:customStyle="1" w:styleId="135">
    <w:name w:val="文档结构图 Char2"/>
    <w:basedOn w:val="45"/>
    <w:link w:val="15"/>
    <w:semiHidden/>
    <w:qFormat/>
    <w:uiPriority w:val="99"/>
    <w:rPr>
      <w:rFonts w:ascii="宋体" w:hAnsi="Times New Roman" w:eastAsia="宋体" w:cs="Times New Roman"/>
      <w:sz w:val="18"/>
      <w:szCs w:val="18"/>
    </w:rPr>
  </w:style>
  <w:style w:type="character" w:customStyle="1" w:styleId="136">
    <w:name w:val="正文文本缩进 Char2"/>
    <w:basedOn w:val="45"/>
    <w:link w:val="19"/>
    <w:semiHidden/>
    <w:qFormat/>
    <w:uiPriority w:val="99"/>
    <w:rPr>
      <w:rFonts w:ascii="Times New Roman" w:hAnsi="Times New Roman" w:eastAsia="宋体" w:cs="Times New Roman"/>
      <w:szCs w:val="24"/>
    </w:rPr>
  </w:style>
  <w:style w:type="character" w:customStyle="1" w:styleId="137">
    <w:name w:val="正文首行缩进 2 Char1"/>
    <w:basedOn w:val="136"/>
    <w:link w:val="42"/>
    <w:semiHidden/>
    <w:qFormat/>
    <w:uiPriority w:val="99"/>
  </w:style>
  <w:style w:type="character" w:customStyle="1" w:styleId="138">
    <w:name w:val="正文文本 Char2"/>
    <w:basedOn w:val="45"/>
    <w:link w:val="18"/>
    <w:semiHidden/>
    <w:qFormat/>
    <w:uiPriority w:val="99"/>
    <w:rPr>
      <w:rFonts w:ascii="Times New Roman" w:hAnsi="Times New Roman" w:eastAsia="宋体" w:cs="Times New Roman"/>
      <w:szCs w:val="24"/>
    </w:rPr>
  </w:style>
  <w:style w:type="character" w:customStyle="1" w:styleId="139">
    <w:name w:val="批注文字 Char2"/>
    <w:basedOn w:val="45"/>
    <w:link w:val="16"/>
    <w:semiHidden/>
    <w:qFormat/>
    <w:uiPriority w:val="99"/>
    <w:rPr>
      <w:rFonts w:ascii="Times New Roman" w:hAnsi="Times New Roman" w:eastAsia="宋体" w:cs="Times New Roman"/>
      <w:szCs w:val="24"/>
    </w:rPr>
  </w:style>
  <w:style w:type="character" w:customStyle="1" w:styleId="140">
    <w:name w:val="信息标题 Char"/>
    <w:basedOn w:val="45"/>
    <w:link w:val="38"/>
    <w:qFormat/>
    <w:uiPriority w:val="99"/>
    <w:rPr>
      <w:rFonts w:ascii="Cambria" w:hAnsi="Cambria" w:eastAsia="宋体" w:cs="Times New Roman"/>
      <w:sz w:val="24"/>
      <w:szCs w:val="24"/>
      <w:shd w:val="clear" w:color="auto" w:fill="7F7F7F"/>
    </w:rPr>
  </w:style>
  <w:style w:type="character" w:customStyle="1" w:styleId="141">
    <w:name w:val="页眉 Char2"/>
    <w:basedOn w:val="45"/>
    <w:link w:val="30"/>
    <w:semiHidden/>
    <w:qFormat/>
    <w:uiPriority w:val="99"/>
    <w:rPr>
      <w:rFonts w:ascii="Times New Roman" w:hAnsi="Times New Roman" w:eastAsia="宋体" w:cs="Times New Roman"/>
      <w:sz w:val="18"/>
      <w:szCs w:val="18"/>
    </w:rPr>
  </w:style>
  <w:style w:type="character" w:customStyle="1" w:styleId="142">
    <w:name w:val="脚注文本 Char2"/>
    <w:basedOn w:val="45"/>
    <w:link w:val="33"/>
    <w:semiHidden/>
    <w:qFormat/>
    <w:uiPriority w:val="99"/>
    <w:rPr>
      <w:rFonts w:ascii="Times New Roman" w:hAnsi="Times New Roman" w:eastAsia="宋体" w:cs="Times New Roman"/>
      <w:sz w:val="18"/>
      <w:szCs w:val="18"/>
    </w:rPr>
  </w:style>
  <w:style w:type="character" w:customStyle="1" w:styleId="143">
    <w:name w:val="日期 Char2"/>
    <w:basedOn w:val="45"/>
    <w:link w:val="24"/>
    <w:semiHidden/>
    <w:qFormat/>
    <w:uiPriority w:val="99"/>
    <w:rPr>
      <w:rFonts w:ascii="Times New Roman" w:hAnsi="Times New Roman" w:eastAsia="宋体" w:cs="Times New Roman"/>
      <w:szCs w:val="24"/>
    </w:rPr>
  </w:style>
  <w:style w:type="character" w:customStyle="1" w:styleId="144">
    <w:name w:val="正文文本缩进 3 Char2"/>
    <w:basedOn w:val="45"/>
    <w:link w:val="35"/>
    <w:semiHidden/>
    <w:qFormat/>
    <w:uiPriority w:val="99"/>
    <w:rPr>
      <w:rFonts w:ascii="Times New Roman" w:hAnsi="Times New Roman" w:eastAsia="宋体" w:cs="Times New Roman"/>
      <w:sz w:val="16"/>
      <w:szCs w:val="16"/>
    </w:rPr>
  </w:style>
  <w:style w:type="character" w:customStyle="1" w:styleId="145">
    <w:name w:val="纯文本 Char2"/>
    <w:basedOn w:val="45"/>
    <w:link w:val="22"/>
    <w:semiHidden/>
    <w:qFormat/>
    <w:uiPriority w:val="99"/>
    <w:rPr>
      <w:rFonts w:ascii="宋体" w:hAnsi="Courier New" w:eastAsia="宋体" w:cs="Courier New"/>
      <w:szCs w:val="21"/>
    </w:rPr>
  </w:style>
  <w:style w:type="character" w:customStyle="1" w:styleId="146">
    <w:name w:val="正文文本 2 Char2"/>
    <w:basedOn w:val="45"/>
    <w:link w:val="37"/>
    <w:semiHidden/>
    <w:qFormat/>
    <w:uiPriority w:val="99"/>
    <w:rPr>
      <w:rFonts w:ascii="Times New Roman" w:hAnsi="Times New Roman" w:eastAsia="宋体" w:cs="Times New Roman"/>
      <w:szCs w:val="24"/>
    </w:rPr>
  </w:style>
  <w:style w:type="character" w:customStyle="1" w:styleId="147">
    <w:name w:val="正文文本缩进 2 Char2"/>
    <w:basedOn w:val="45"/>
    <w:link w:val="25"/>
    <w:semiHidden/>
    <w:qFormat/>
    <w:uiPriority w:val="99"/>
    <w:rPr>
      <w:rFonts w:ascii="Times New Roman" w:hAnsi="Times New Roman" w:eastAsia="宋体" w:cs="Times New Roman"/>
      <w:szCs w:val="24"/>
    </w:rPr>
  </w:style>
  <w:style w:type="character" w:customStyle="1" w:styleId="148">
    <w:name w:val="尾注文本 Char2"/>
    <w:basedOn w:val="45"/>
    <w:link w:val="26"/>
    <w:semiHidden/>
    <w:qFormat/>
    <w:uiPriority w:val="99"/>
    <w:rPr>
      <w:rFonts w:ascii="Times New Roman" w:hAnsi="Times New Roman" w:eastAsia="宋体" w:cs="Times New Roman"/>
      <w:szCs w:val="24"/>
    </w:rPr>
  </w:style>
  <w:style w:type="character" w:customStyle="1" w:styleId="149">
    <w:name w:val="批注框文本 Char2"/>
    <w:basedOn w:val="45"/>
    <w:link w:val="27"/>
    <w:semiHidden/>
    <w:qFormat/>
    <w:uiPriority w:val="99"/>
    <w:rPr>
      <w:rFonts w:ascii="Times New Roman" w:hAnsi="Times New Roman" w:eastAsia="宋体" w:cs="Times New Roman"/>
      <w:sz w:val="18"/>
      <w:szCs w:val="18"/>
    </w:rPr>
  </w:style>
  <w:style w:type="character" w:customStyle="1" w:styleId="150">
    <w:name w:val="页脚 Char2"/>
    <w:basedOn w:val="45"/>
    <w:link w:val="28"/>
    <w:semiHidden/>
    <w:qFormat/>
    <w:uiPriority w:val="99"/>
    <w:rPr>
      <w:rFonts w:ascii="Times New Roman" w:hAnsi="Times New Roman" w:eastAsia="宋体" w:cs="Times New Roman"/>
      <w:sz w:val="18"/>
      <w:szCs w:val="18"/>
    </w:rPr>
  </w:style>
  <w:style w:type="paragraph" w:customStyle="1" w:styleId="151">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53">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customStyle="1" w:styleId="15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5">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156">
    <w:name w:val="Table Paragraph"/>
    <w:basedOn w:val="1"/>
    <w:qFormat/>
    <w:uiPriority w:val="1"/>
    <w:rPr>
      <w:rFonts w:ascii="宋体" w:hAnsi="宋体" w:cs="宋体"/>
      <w:lang w:val="zh-CN" w:bidi="zh-CN"/>
    </w:rPr>
  </w:style>
  <w:style w:type="paragraph" w:customStyle="1" w:styleId="157">
    <w:name w:val="WPSOffice手动目录 1"/>
    <w:qFormat/>
    <w:uiPriority w:val="0"/>
    <w:rPr>
      <w:rFonts w:ascii="Times New Roman" w:hAnsi="Times New Roman" w:eastAsia="宋体" w:cs="Times New Roman"/>
      <w:lang w:val="en-US" w:eastAsia="zh-CN" w:bidi="ar-SA"/>
    </w:rPr>
  </w:style>
  <w:style w:type="paragraph" w:customStyle="1" w:styleId="158">
    <w:name w:val="p0"/>
    <w:basedOn w:val="1"/>
    <w:qFormat/>
    <w:uiPriority w:val="0"/>
    <w:pPr>
      <w:widowControl/>
    </w:pPr>
    <w:rPr>
      <w:kern w:val="0"/>
      <w:szCs w:val="21"/>
    </w:rPr>
  </w:style>
  <w:style w:type="paragraph" w:styleId="159">
    <w:name w:val="List Paragraph"/>
    <w:basedOn w:val="1"/>
    <w:unhideWhenUsed/>
    <w:qFormat/>
    <w:uiPriority w:val="99"/>
    <w:pPr>
      <w:ind w:firstLine="420" w:firstLineChars="200"/>
    </w:pPr>
  </w:style>
  <w:style w:type="paragraph" w:customStyle="1" w:styleId="160">
    <w:name w:val="WPSOffice手动目录 2"/>
    <w:qFormat/>
    <w:uiPriority w:val="0"/>
    <w:pPr>
      <w:ind w:leftChars="200"/>
    </w:pPr>
    <w:rPr>
      <w:rFonts w:asciiTheme="minorHAnsi" w:hAnsiTheme="minorHAnsi" w:eastAsiaTheme="minorEastAsia" w:cstheme="minorBidi"/>
      <w:sz w:val="20"/>
      <w:szCs w:val="20"/>
    </w:rPr>
  </w:style>
  <w:style w:type="character" w:customStyle="1" w:styleId="161">
    <w:name w:val="layui-layer-tabnow"/>
    <w:basedOn w:val="45"/>
    <w:qFormat/>
    <w:uiPriority w:val="0"/>
    <w:rPr>
      <w:bdr w:val="single" w:color="CCCCCC" w:sz="6" w:space="0"/>
      <w:shd w:val="clear" w:fill="FFFFFF"/>
    </w:rPr>
  </w:style>
  <w:style w:type="table" w:customStyle="1" w:styleId="162">
    <w:name w:val="Table Normal"/>
    <w:semiHidden/>
    <w:unhideWhenUsed/>
    <w:qFormat/>
    <w:uiPriority w:val="0"/>
    <w:tblPr>
      <w:tblCellMar>
        <w:top w:w="0" w:type="dxa"/>
        <w:left w:w="0" w:type="dxa"/>
        <w:bottom w:w="0" w:type="dxa"/>
        <w:right w:w="0" w:type="dxa"/>
      </w:tblCellMar>
    </w:tblPr>
  </w:style>
  <w:style w:type="character" w:customStyle="1" w:styleId="163">
    <w:name w:val="font81"/>
    <w:basedOn w:val="45"/>
    <w:qFormat/>
    <w:uiPriority w:val="0"/>
    <w:rPr>
      <w:rFonts w:hint="eastAsia" w:ascii="宋体" w:hAnsi="宋体" w:eastAsia="宋体" w:cs="宋体"/>
      <w:color w:val="000000"/>
      <w:sz w:val="20"/>
      <w:szCs w:val="20"/>
      <w:u w:val="none"/>
    </w:rPr>
  </w:style>
  <w:style w:type="character" w:customStyle="1" w:styleId="164">
    <w:name w:val="font71"/>
    <w:basedOn w:val="45"/>
    <w:qFormat/>
    <w:uiPriority w:val="0"/>
    <w:rPr>
      <w:rFonts w:hint="default" w:ascii="Arial" w:hAnsi="Arial" w:cs="Arial"/>
      <w:color w:val="000000"/>
      <w:sz w:val="20"/>
      <w:szCs w:val="20"/>
      <w:u w:val="none"/>
    </w:rPr>
  </w:style>
  <w:style w:type="character" w:customStyle="1" w:styleId="165">
    <w:name w:val="font51"/>
    <w:basedOn w:val="45"/>
    <w:qFormat/>
    <w:uiPriority w:val="0"/>
    <w:rPr>
      <w:rFonts w:hint="eastAsia" w:ascii="微软雅黑" w:hAnsi="微软雅黑" w:eastAsia="微软雅黑" w:cs="微软雅黑"/>
      <w:color w:val="000000"/>
      <w:sz w:val="20"/>
      <w:szCs w:val="20"/>
      <w:u w:val="none"/>
    </w:rPr>
  </w:style>
  <w:style w:type="paragraph" w:customStyle="1" w:styleId="166">
    <w:name w:val="表格文字"/>
    <w:basedOn w:val="1"/>
    <w:next w:val="18"/>
    <w:qFormat/>
    <w:uiPriority w:val="0"/>
    <w:pPr>
      <w:adjustRightInd w:val="0"/>
      <w:spacing w:line="420" w:lineRule="atLeast"/>
      <w:jc w:val="left"/>
      <w:textAlignment w:val="baseline"/>
    </w:pPr>
    <w:rPr>
      <w:kern w:val="0"/>
      <w:szCs w:val="20"/>
    </w:rPr>
  </w:style>
  <w:style w:type="paragraph" w:customStyle="1" w:styleId="167">
    <w:name w:val="my-正文"/>
    <w:basedOn w:val="168"/>
    <w:qFormat/>
    <w:uiPriority w:val="0"/>
    <w:pPr>
      <w:tabs>
        <w:tab w:val="center" w:pos="4201"/>
        <w:tab w:val="right" w:leader="dot" w:pos="9298"/>
      </w:tabs>
      <w:spacing w:before="0" w:afterLines="0" w:line="360" w:lineRule="auto"/>
      <w:ind w:firstLine="202" w:firstLineChars="202"/>
    </w:pPr>
    <w:rPr>
      <w:rFonts w:ascii="Times New Roman"/>
      <w:sz w:val="24"/>
    </w:rPr>
  </w:style>
  <w:style w:type="paragraph" w:customStyle="1" w:styleId="168">
    <w:name w:val="段"/>
    <w:qFormat/>
    <w:uiPriority w:val="0"/>
    <w:pPr>
      <w:tabs>
        <w:tab w:val="center" w:pos="4201"/>
        <w:tab w:val="right" w:leader="dot" w:pos="9298"/>
      </w:tabs>
      <w:autoSpaceDE w:val="0"/>
      <w:autoSpaceDN w:val="0"/>
      <w:spacing w:before="53" w:afterLines="5"/>
      <w:ind w:firstLine="420" w:firstLineChars="200"/>
      <w:jc w:val="both"/>
    </w:pPr>
    <w:rPr>
      <w:rFonts w:ascii="宋体" w:hAnsi="Times New Roman" w:eastAsia="宋体" w:cs="Times New Roman"/>
      <w:sz w:val="21"/>
      <w:lang w:val="en-US" w:eastAsia="zh-CN" w:bidi="ar-SA"/>
    </w:rPr>
  </w:style>
  <w:style w:type="paragraph" w:customStyle="1" w:styleId="169">
    <w:name w:val="表格"/>
    <w:basedOn w:val="1"/>
    <w:qFormat/>
    <w:uiPriority w:val="0"/>
    <w:pPr>
      <w:widowControl/>
      <w:ind w:firstLine="0" w:firstLineChars="0"/>
      <w:jc w:val="center"/>
    </w:pPr>
    <w:rPr>
      <w:rFonts w:hint="eastAsia" w:ascii="宋体" w:hAnsi="宋体" w:cs="宋体"/>
      <w:color w:val="24292F"/>
      <w:szCs w:val="24"/>
      <w:lang w:val="en-US" w:eastAsia="zh-CN" w:bidi="ar"/>
    </w:rPr>
  </w:style>
  <w:style w:type="paragraph" w:customStyle="1" w:styleId="170">
    <w:name w:val="null3"/>
    <w:hidden/>
    <w:qFormat/>
    <w:uiPriority w:val="0"/>
    <w:rPr>
      <w:rFonts w:hint="eastAsia" w:asciiTheme="minorHAnsi" w:hAnsiTheme="minorHAnsi" w:eastAsiaTheme="minorEastAsia" w:cstheme="minorBidi"/>
      <w:lang w:val="en-US" w:eastAsia="zh-Hans"/>
    </w:rPr>
  </w:style>
  <w:style w:type="character" w:customStyle="1" w:styleId="171">
    <w:name w:val="font21"/>
    <w:basedOn w:val="45"/>
    <w:qFormat/>
    <w:uiPriority w:val="0"/>
    <w:rPr>
      <w:rFonts w:hint="eastAsia" w:ascii="宋体" w:hAnsi="宋体" w:eastAsia="宋体"/>
      <w:kern w:val="2"/>
      <w:sz w:val="28"/>
      <w:szCs w:val="28"/>
      <w:lang w:val="en-US" w:eastAsia="zh-CN" w:bidi="ar-SA"/>
    </w:rPr>
  </w:style>
  <w:style w:type="character" w:customStyle="1" w:styleId="172">
    <w:name w:val="font41"/>
    <w:basedOn w:val="45"/>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7" textRotate="1"/>
    <customShpInfo spid="_x0000_s104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7461</Words>
  <Characters>8463</Characters>
  <Lines>173</Lines>
  <Paragraphs>48</Paragraphs>
  <TotalTime>24</TotalTime>
  <ScaleCrop>false</ScaleCrop>
  <LinksUpToDate>false</LinksUpToDate>
  <CharactersWithSpaces>8596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2021-03-13T08:38:00Z</dcterms:created>
  <dc:creator>de'l'l</dc:creator>
  <cp:lastModifiedBy>Administrator</cp:lastModifiedBy>
  <cp:lastPrinted>2025-09-01T07:23:00Z</cp:lastPrinted>
  <dcterms:modified xsi:type="dcterms:W3CDTF">2025-12-02T09:16:09Z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C533CFA552A048B0933AECB5EC2D012E</vt:lpwstr>
  </property>
  <property fmtid="{D5CDD505-2E9C-101B-9397-08002B2CF9AE}" pid="4" name="KSOTemplateDocerSaveRecord">
    <vt:lpwstr>eyJoZGlkIjoiZWFjNzg3Nzc3ZjBmMTUzNjlhMDUxOWM0OTVkMmZhZWEiLCJ1c2VySWQiOiI0MjA1Nzg2NTEifQ==</vt:lpwstr>
  </property>
</Properties>
</file>